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0"/>
        <w:contextualSpacing/>
        <w:jc w:val="center"/>
      </w:pPr>
      <w:r>
        <w:rPr>
          <w:rFonts w:ascii="Liberation Sans" w:hAnsi="Liberation Sans" w:eastAsia="Liberation Serif" w:cs="Liberation Sans"/>
          <w:spacing w:val="-20"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211" cy="63808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072560" name="" hidden="0"/>
                        <pic:cNvPicPr/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8207" cy="638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.0pt;height:50.2pt;mso-wrap-distance-left:0.0pt;mso-wrap-distance-top:0.0pt;mso-wrap-distance-right:0.0pt;mso-wrap-distance-bottom:0.0pt;" stroked="f">
                <v:path textboxrect="0,0,0,0"/>
                <v:imagedata r:id="rId13" o:title=""/>
              </v:shape>
            </w:pict>
          </mc:Fallback>
        </mc:AlternateContent>
      </w:r>
      <w:r/>
      <w:r/>
    </w:p>
    <w:p>
      <w:pPr>
        <w:pStyle w:val="880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pacing w:val="-20"/>
          <w:sz w:val="36"/>
          <w:szCs w:val="36"/>
        </w:rPr>
        <w:t xml:space="preserve">ДЕПАРТАМЕНТ ТАРИФНОЙ ПОЛИТИКИ, ЭНЕРГЕТИКИ</w:t>
      </w:r>
      <w:r/>
      <w:r/>
    </w:p>
    <w:p>
      <w:pPr>
        <w:pStyle w:val="880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pacing w:val="-20"/>
          <w:sz w:val="36"/>
          <w:szCs w:val="36"/>
        </w:rPr>
        <w:t xml:space="preserve">И ЖИЛИЩНО-КОММУНАЛЬНОГО КОМПЛЕКСА </w:t>
      </w:r>
      <w:r/>
      <w:r/>
    </w:p>
    <w:p>
      <w:pPr>
        <w:pStyle w:val="880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z w:val="36"/>
          <w:szCs w:val="36"/>
        </w:rPr>
        <w:t xml:space="preserve">ЯМАЛО-НЕНЕЦКОГО АВТОНОМНОГО ОКРУГА</w:t>
      </w:r>
      <w:r/>
      <w:r/>
    </w:p>
    <w:p>
      <w:pPr>
        <w:pStyle w:val="880"/>
        <w:contextualSpacing/>
        <w:jc w:val="center"/>
        <w:tabs>
          <w:tab w:val="left" w:pos="720" w:leader="none"/>
        </w:tabs>
      </w:pPr>
      <w:r>
        <w:rPr>
          <w:rFonts w:ascii="Liberation Sans" w:hAnsi="Liberation Sans" w:eastAsia="Liberation Serif" w:cs="Liberation Sans"/>
          <w:color w:val="0000ff"/>
          <w:sz w:val="16"/>
          <w:szCs w:val="16"/>
        </w:rPr>
      </w:r>
      <w:r/>
      <w:r/>
    </w:p>
    <w:p>
      <w:pPr>
        <w:pStyle w:val="880"/>
        <w:contextualSpacing/>
        <w:jc w:val="center"/>
      </w:pPr>
      <w:r>
        <w:rPr>
          <w:rFonts w:ascii="Liberation Sans" w:hAnsi="Liberation Sans" w:eastAsia="Liberation Serif" w:cs="Liberation Sans"/>
          <w:b/>
          <w:color w:val="0000ff"/>
          <w:sz w:val="40"/>
          <w:szCs w:val="40"/>
        </w:rPr>
        <w:t xml:space="preserve">ПРИКАЗ</w:t>
      </w:r>
      <w:r/>
      <w:r/>
    </w:p>
    <w:p>
      <w:pPr>
        <w:pStyle w:val="880"/>
        <w:ind w:right="21"/>
        <w:tabs>
          <w:tab w:val="left" w:pos="9900" w:leader="none"/>
        </w:tabs>
      </w:pPr>
      <w:r>
        <w:rPr>
          <w:rFonts w:ascii="Liberation Sans" w:hAnsi="Liberation Sans" w:eastAsia="Liberation Serif" w:cs="Liberation Sans"/>
          <w:color w:val="0000ff"/>
          <w:sz w:val="28"/>
          <w:highlight w:val="none"/>
        </w:rPr>
      </w:r>
      <w:r/>
      <w:r/>
    </w:p>
    <w:p>
      <w:pPr>
        <w:pStyle w:val="880"/>
        <w:ind w:right="21"/>
        <w:tabs>
          <w:tab w:val="left" w:pos="9900" w:leader="none"/>
        </w:tabs>
      </w:pPr>
      <w:r>
        <w:rPr>
          <w:rFonts w:ascii="Liberation Sans" w:hAnsi="Liberation Sans" w:cs="Liberation Sans"/>
        </w:rPr>
      </w:r>
      <w:r>
        <w:rPr>
          <w:rFonts w:ascii="Liberation Sans" w:hAnsi="Liberation Sans" w:eastAsia="Liberation Serif" w:cs="Liberation Sans"/>
          <w:color w:val="0000ff"/>
          <w:sz w:val="28"/>
        </w:rPr>
        <w:t xml:space="preserve">28 ноября 2025 г.                                                                              № 169-т</w:t>
      </w:r>
      <w:r/>
      <w:r/>
    </w:p>
    <w:p>
      <w:pPr>
        <w:pStyle w:val="1_636"/>
        <w:ind w:right="228" w:firstLine="0"/>
        <w:jc w:val="center"/>
      </w:pPr>
      <w:r>
        <w:rPr>
          <w:rFonts w:ascii="Liberation Sans" w:hAnsi="Liberation Sans" w:eastAsia="Liberation Serif" w:cs="Liberation Sans"/>
          <w:color w:val="0000ff"/>
          <w:sz w:val="24"/>
        </w:rPr>
        <w:t xml:space="preserve">г. Салехард</w:t>
      </w:r>
      <w:r/>
      <w:r/>
    </w:p>
    <w:p>
      <w:pPr>
        <w:pStyle w:val="880"/>
        <w:ind w:firstLine="0"/>
        <w:jc w:val="left"/>
      </w:pPr>
      <w:r/>
      <w:r/>
    </w:p>
    <w:p>
      <w:pPr>
        <w:pStyle w:val="880"/>
        <w:ind w:firstLine="0"/>
        <w:jc w:val="left"/>
      </w:pPr>
      <w:r>
        <w:rPr>
          <w:rFonts w:ascii="Liberation Sans" w:hAnsi="Liberation Sans" w:eastAsia="Liberation Serif" w:cs="Liberation Sans"/>
          <w:bCs/>
        </w:rPr>
      </w:r>
      <w:r/>
    </w:p>
    <w:p>
      <w:pPr>
        <w:contextualSpacing/>
        <w:jc w:val="center"/>
      </w:pPr>
      <w:r>
        <w:rPr>
          <w:rFonts w:ascii="Liberation Sans" w:hAnsi="Liberation Sans" w:eastAsia="Liberation Serif" w:cs="Liberation Sans"/>
          <w:sz w:val="24"/>
          <w:szCs w:val="28"/>
        </w:rPr>
        <w:t xml:space="preserve">Проведена государственная регистрация нормативных правовых актов</w:t>
      </w:r>
      <w:r/>
    </w:p>
    <w:p>
      <w:pPr>
        <w:contextualSpacing/>
        <w:jc w:val="center"/>
      </w:pPr>
      <w:r>
        <w:rPr>
          <w:rFonts w:ascii="Liberation Sans" w:hAnsi="Liberation Sans" w:eastAsia="Liberation Serif" w:cs="Liberation Sans"/>
          <w:sz w:val="24"/>
          <w:szCs w:val="28"/>
        </w:rPr>
        <w:t xml:space="preserve">Ямало-Ненецкого автономного округа _____________________ 2025 г.</w:t>
      </w:r>
      <w:r/>
    </w:p>
    <w:p>
      <w:pPr>
        <w:contextualSpacing/>
        <w:jc w:val="center"/>
        <w:rPr>
          <w:rFonts w:ascii="Liberation Sans" w:hAnsi="Liberation Sans" w:eastAsia="Liberation Serif" w:cs="Liberation Sans"/>
          <w:color w:val="0000ff"/>
          <w:sz w:val="28"/>
          <w:szCs w:val="28"/>
          <w:highlight w:val="none"/>
        </w:rPr>
      </w:pPr>
      <w:r>
        <w:rPr>
          <w:rFonts w:ascii="Liberation Sans" w:hAnsi="Liberation Sans" w:eastAsia="Liberation Serif" w:cs="Liberation Sans"/>
          <w:bCs/>
          <w:sz w:val="24"/>
          <w:szCs w:val="28"/>
        </w:rPr>
        <w:t xml:space="preserve">Регистрационный № __</w:t>
      </w:r>
      <w:r>
        <w:rPr>
          <w:rFonts w:ascii="Liberation Sans" w:hAnsi="Liberation Sans" w:eastAsia="Liberation Serif" w:cs="Liberation Sans"/>
          <w:sz w:val="24"/>
        </w:rPr>
        <w:t xml:space="preserve">__</w:t>
      </w:r>
      <w:r>
        <w:rPr>
          <w:rFonts w:ascii="Liberation Sans" w:hAnsi="Liberation Sans" w:cs="Liberation Sans"/>
          <w:color w:val="0000ff"/>
          <w:highlight w:val="none"/>
        </w:rPr>
      </w:r>
      <w:r/>
    </w:p>
    <w:p>
      <w:pPr>
        <w:pStyle w:val="867"/>
        <w:ind w:firstLine="540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4"/>
          <w:highlight w:val="none"/>
        </w:rPr>
      </w:r>
      <w:r>
        <w:rPr>
          <w:rFonts w:ascii="Liberation Sans" w:hAnsi="Liberation Sans" w:cs="Liberation Sans"/>
          <w:sz w:val="24"/>
          <w:highlight w:val="none"/>
        </w:rPr>
      </w:r>
      <w:r/>
    </w:p>
    <w:p>
      <w:pPr>
        <w:pStyle w:val="867"/>
        <w:ind w:firstLine="540"/>
        <w:jc w:val="both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highlight w:val="none"/>
        </w:rPr>
      </w:r>
      <w:r>
        <w:rPr>
          <w:rFonts w:ascii="Liberation Sans" w:hAnsi="Liberation Sans" w:cs="Liberation Sans"/>
          <w:sz w:val="24"/>
          <w:highlight w:val="none"/>
        </w:rPr>
      </w:r>
      <w:r/>
    </w:p>
    <w:p>
      <w:pPr>
        <w:pStyle w:val="869"/>
        <w:contextualSpacing w:val="0"/>
        <w:jc w:val="center"/>
        <w:spacing w:before="0" w:beforeAutospacing="0" w:line="240" w:lineRule="auto"/>
        <w:rPr>
          <w:rFonts w:ascii="Liberation Sans" w:hAnsi="Liberation Sans" w:cs="Liberation Sans"/>
          <w:b/>
          <w:bCs/>
        </w:rPr>
      </w:pPr>
      <w:r>
        <w:rPr>
          <w:rFonts w:ascii="Liberation Sans" w:hAnsi="Liberation Sans" w:cs="Liberation Sans"/>
          <w:b/>
          <w:bCs/>
          <w:sz w:val="28"/>
          <w:szCs w:val="28"/>
        </w:rPr>
        <w:t xml:space="preserve">Об утверждении льготных ставок за </w:t>
      </w:r>
      <w:r>
        <w:rPr>
          <w:rFonts w:ascii="Liberation Sans" w:hAnsi="Liberation Sans" w:cs="Liberation Sans"/>
          <w:b/>
          <w:bCs/>
          <w:sz w:val="28"/>
          <w:szCs w:val="28"/>
        </w:rPr>
        <w:t xml:space="preserve">1 кВт </w:t>
      </w:r>
      <w:r>
        <w:rPr>
          <w:rFonts w:ascii="Liberation Sans" w:hAnsi="Liberation Sans" w:cs="Liberation Sans"/>
          <w:b/>
          <w:bCs/>
          <w:sz w:val="28"/>
          <w:szCs w:val="28"/>
        </w:rPr>
        <w:t xml:space="preserve">запрашиваемой максимальной мощности при технологическом п</w:t>
      </w:r>
      <w:r>
        <w:rPr>
          <w:rFonts w:ascii="Liberation Sans" w:hAnsi="Liberation Sans" w:cs="Liberation Sans"/>
          <w:b/>
          <w:bCs/>
          <w:sz w:val="28"/>
          <w:szCs w:val="28"/>
        </w:rPr>
        <w:t xml:space="preserve">рисоединении энергопринимающих устройств заявителей к электрическим сетям на территории Ямало-Ненецкого автономного округа</w:t>
      </w:r>
      <w:r>
        <w:rPr>
          <w:rFonts w:ascii="Liberation Sans" w:hAnsi="Liberation Sans" w:cs="Liberation Sans"/>
          <w:b/>
          <w:bCs/>
        </w:rPr>
      </w:r>
      <w:r/>
    </w:p>
    <w:p>
      <w:pPr>
        <w:pStyle w:val="867"/>
        <w:contextualSpacing/>
        <w:ind w:left="0" w:right="0" w:firstLine="709"/>
        <w:jc w:val="center"/>
        <w:rPr>
          <w:rFonts w:ascii="Liberation Sans" w:hAnsi="Liberation Sans" w:cs="Liberation Sans"/>
          <w:b/>
          <w:bCs/>
          <w:sz w:val="28"/>
          <w:szCs w:val="28"/>
          <w:highlight w:val="none"/>
        </w:rPr>
      </w:pPr>
      <w:r>
        <w:rPr>
          <w:rFonts w:ascii="Liberation Sans" w:hAnsi="Liberation Sans" w:cs="Liberation Sans"/>
          <w:b/>
          <w:bCs/>
          <w:sz w:val="28"/>
          <w:szCs w:val="28"/>
        </w:rPr>
        <w:t xml:space="preserve">на 2026 год </w:t>
      </w:r>
      <w:r>
        <w:rPr>
          <w:rFonts w:ascii="Liberation Sans" w:hAnsi="Liberation Sans" w:cs="Liberation Sans"/>
          <w:b/>
          <w:bCs/>
          <w:sz w:val="28"/>
          <w:szCs w:val="28"/>
          <w:highlight w:val="none"/>
        </w:rPr>
      </w:r>
      <w:r/>
    </w:p>
    <w:p>
      <w:pPr>
        <w:pStyle w:val="867"/>
        <w:contextualSpacing/>
        <w:ind w:left="0" w:right="0" w:firstLine="709"/>
        <w:jc w:val="both"/>
        <w:rPr>
          <w:rFonts w:ascii="Liberation Sans" w:hAnsi="Liberation Sans" w:cs="Liberation Sans"/>
          <w:b/>
          <w:bCs/>
          <w:sz w:val="28"/>
          <w:szCs w:val="28"/>
          <w:highlight w:val="none"/>
        </w:rPr>
      </w:pPr>
      <w:r>
        <w:rPr>
          <w:rFonts w:ascii="Liberation Sans" w:hAnsi="Liberation Sans" w:cs="Liberation Sans"/>
          <w:b/>
          <w:bCs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sz w:val="28"/>
          <w:szCs w:val="28"/>
          <w:highlight w:val="none"/>
        </w:rPr>
      </w:r>
      <w:r/>
    </w:p>
    <w:p>
      <w:pPr>
        <w:pStyle w:val="867"/>
        <w:contextualSpacing/>
        <w:ind w:left="0" w:right="0" w:firstLine="709"/>
        <w:jc w:val="both"/>
        <w:rPr>
          <w:rFonts w:ascii="Liberation Sans" w:hAnsi="Liberation Sans" w:cs="Liberation Sans"/>
          <w:b/>
          <w:bCs/>
          <w:sz w:val="28"/>
          <w:szCs w:val="28"/>
          <w:highlight w:val="none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В соответствии с Федеральным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законом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от 26 марта 2003 года </w:t>
        <w:br/>
        <w:t xml:space="preserve">№ 35-ФЗ «Об электроэнергетике»,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постановлением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Правительства Российской Федерации от 29 декабря 2011 года № 1178 </w:t>
        <w:br/>
        <w:t xml:space="preserve">«О ценообразовании в области регулируемых цен (тарифов) в электроэнергетике»,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Правилами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технологического присоединения энергопринимающих устройств потребителей электрической энергии, объ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 декабря 2004 года № 861,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приказом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ФАС России от 30 июня 2022 года № 490/22 «Об утверждении Методических указаний по определению размера платы за технологическое присоединение к электрическим сетям»,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постановлением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Правительства Ямало-Ненецкого автономного округа от 25 декабря 2013 года № 1081-П «О департаменте тарифной политики, энергетики и жилищно-коммунального комплекса Ямало-Ненецкого автономного округа» </w:t>
      </w:r>
      <w:r>
        <w:rPr>
          <w:rFonts w:ascii="Liberation Sans" w:hAnsi="Liberation Sans" w:cs="Liberation Sans"/>
          <w:b/>
          <w:bCs/>
          <w:sz w:val="28"/>
          <w:szCs w:val="28"/>
        </w:rPr>
        <w:t xml:space="preserve">п р и к а з ы в а ю:</w:t>
      </w:r>
      <w:r>
        <w:rPr>
          <w:b w:val="0"/>
          <w:bCs w:val="0"/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rPr>
          <w:rFonts w:ascii="Liberation Sans" w:hAnsi="Liberation Sans" w:cs="Liberation Sans"/>
          <w:b w:val="0"/>
          <w:bCs w:val="0"/>
          <w:sz w:val="28"/>
          <w:szCs w:val="28"/>
          <w:highlight w:val="none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  <w:highlight w:val="none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  <w:highlight w:val="none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  <w:highlight w:val="none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</w:rPr>
      </w:r>
      <w:bookmarkStart w:id="20" w:name="P20"/>
      <w:r>
        <w:rPr>
          <w:rFonts w:ascii="Liberation Sans" w:hAnsi="Liberation Sans" w:cs="Liberation Sans"/>
          <w:b w:val="0"/>
          <w:bCs w:val="0"/>
          <w:sz w:val="28"/>
          <w:szCs w:val="28"/>
        </w:rPr>
      </w:r>
      <w:bookmarkEnd w:id="20"/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1. Установить льготную ставку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за 1 кВт запрашиваемой максимальной мощности при технологическом присоединении энергопринимающих устройств заявителей к электрическим сетям на территории Ямало-Ненецкого автономного округа (далее - технологическое присоединение энергопринимающих устройств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) - физических лиц, максимальная мощность которых не превышает 15 кВт включительно (с учетом ранее присоединенных в данной точке присоединения энергопринимающих устройств), владеющих объектами, отнесенными к третьей категории надежности (по одному источник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у электроснабжения), при условии, что расстояние от границ участка заявителя до объектов электросетевого хозяйства на уровне напряжения 0,4 кВ и ниже необходимого заявителю класса напряжения сетевой организации, в которую подана заявка на технологическое п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р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исоединение энергопринимающих устройств (далее - заявка), составляет не более 300 метров в городах и поселках городского типа </w:t>
        <w:br/>
        <w:t xml:space="preserve">и не более 500 метров в сельской местности, объектов микрогенерации, в том числе за одновременное технологическое присоединение э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н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ергопринимающих устройств и объектов микрогенерации, при заключении договора членом малообеспеченной семьи (одиноко проживающим гражданином), среднедушевой доход которой (доход которого) ниже величины прожиточного минимума, определенной </w:t>
        <w:br/>
        <w:t xml:space="preserve">в соответствии со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статьей 4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Федерального закона от 24 октября 1997 года № 134-ФЗ «О прожиточном минимуме в Российской Федерации», </w:t>
        <w:br/>
        <w:t xml:space="preserve">а также лицами, указанными в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статьях 14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-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16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,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18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и 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21</w:t>
      </w: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Федерального </w:t>
      </w:r>
      <w:r>
        <w:rPr>
          <w:rFonts w:ascii="Liberation Sans" w:hAnsi="Liberation Sans" w:cs="Liberation Sans"/>
          <w:sz w:val="28"/>
          <w:szCs w:val="28"/>
        </w:rPr>
        <w:t xml:space="preserve">закона от 12 января 1995 года № 5-ФЗ «О ветеранах», </w:t>
      </w:r>
      <w:r>
        <w:rPr>
          <w:rFonts w:ascii="Liberation Sans" w:hAnsi="Liberation Sans" w:cs="Liberation Sans"/>
          <w:sz w:val="28"/>
          <w:szCs w:val="28"/>
        </w:rPr>
        <w:t xml:space="preserve">статье 17</w:t>
      </w:r>
      <w:r>
        <w:rPr>
          <w:rFonts w:ascii="Liberation Sans" w:hAnsi="Liberation Sans" w:cs="Liberation Sans"/>
          <w:sz w:val="28"/>
          <w:szCs w:val="28"/>
        </w:rPr>
        <w:t xml:space="preserve"> Федерального закона от 24 ноября 1995 года № 181-ФЗ «О социальной защите инвалидов в Российской Федерации», </w:t>
      </w:r>
      <w:r>
        <w:rPr>
          <w:rFonts w:ascii="Liberation Sans" w:hAnsi="Liberation Sans" w:cs="Liberation Sans"/>
          <w:sz w:val="28"/>
          <w:szCs w:val="28"/>
        </w:rPr>
        <w:t xml:space="preserve">статье 14</w:t>
      </w:r>
      <w:r>
        <w:rPr>
          <w:rFonts w:ascii="Liberation Sans" w:hAnsi="Liberation Sans" w:cs="Liberation Sans"/>
          <w:sz w:val="28"/>
          <w:szCs w:val="28"/>
        </w:rPr>
        <w:t xml:space="preserve"> Закона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</w:t>
      </w:r>
      <w:r>
        <w:rPr>
          <w:rFonts w:ascii="Liberation Sans" w:hAnsi="Liberation Sans" w:cs="Liberation Sans"/>
          <w:sz w:val="28"/>
          <w:szCs w:val="28"/>
        </w:rPr>
        <w:t xml:space="preserve">статье 2</w:t>
      </w:r>
      <w:r>
        <w:rPr>
          <w:rFonts w:ascii="Liberation Sans" w:hAnsi="Liberation Sans" w:cs="Liberation Sans"/>
          <w:sz w:val="28"/>
          <w:szCs w:val="28"/>
        </w:rPr>
        <w:t xml:space="preserve"> Федерального закона </w:t>
        <w:br/>
        <w:t xml:space="preserve">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</w:t>
      </w:r>
      <w:r>
        <w:rPr>
          <w:rFonts w:ascii="Liberation Sans" w:hAnsi="Liberation Sans" w:cs="Liberation Sans"/>
          <w:sz w:val="28"/>
          <w:szCs w:val="28"/>
        </w:rPr>
        <w:t xml:space="preserve">части 8 статьи 154</w:t>
      </w:r>
      <w:r>
        <w:rPr>
          <w:rFonts w:ascii="Liberation Sans" w:hAnsi="Liberation Sans" w:cs="Liberation Sans"/>
          <w:sz w:val="28"/>
          <w:szCs w:val="28"/>
        </w:rPr>
        <w:t xml:space="preserve"> Федерального з</w:t>
      </w:r>
      <w:r>
        <w:rPr>
          <w:rFonts w:ascii="Liberation Sans" w:hAnsi="Liberation Sans" w:cs="Liberation Sans"/>
          <w:sz w:val="28"/>
          <w:szCs w:val="28"/>
        </w:rPr>
        <w:t xml:space="preserve">акона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</w:t>
      </w:r>
      <w:r>
        <w:rPr>
          <w:rFonts w:ascii="Liberation Sans" w:hAnsi="Liberation Sans" w:cs="Liberation Sans"/>
          <w:sz w:val="28"/>
          <w:szCs w:val="28"/>
        </w:rPr>
        <w:t xml:space="preserve">н</w:t>
      </w:r>
      <w:r>
        <w:rPr>
          <w:rFonts w:ascii="Liberation Sans" w:hAnsi="Liberation Sans" w:cs="Liberation Sans"/>
          <w:sz w:val="28"/>
          <w:szCs w:val="28"/>
        </w:rPr>
        <w:t xml:space="preserve">е</w:t>
      </w:r>
      <w:r>
        <w:rPr>
          <w:rFonts w:ascii="Liberation Sans" w:hAnsi="Liberation Sans" w:cs="Liberation Sans"/>
          <w:sz w:val="28"/>
          <w:szCs w:val="28"/>
        </w:rPr>
        <w:t xml:space="preserve">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</w:t>
        <w:br/>
        <w:t xml:space="preserve">и «Об общих принципах организации местного самоуправления в Российской Федерации»», </w:t>
      </w:r>
      <w:r>
        <w:rPr>
          <w:rFonts w:ascii="Liberation Sans" w:hAnsi="Liberation Sans" w:cs="Liberation Sans"/>
          <w:sz w:val="28"/>
          <w:szCs w:val="28"/>
        </w:rPr>
        <w:t xml:space="preserve">статье 1</w:t>
      </w:r>
      <w:r>
        <w:rPr>
          <w:rFonts w:ascii="Liberation Sans" w:hAnsi="Liberation Sans" w:cs="Liberation Sans"/>
          <w:sz w:val="28"/>
          <w:szCs w:val="28"/>
        </w:rPr>
        <w:t xml:space="preserve"> Федерального закона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</w:t>
      </w:r>
      <w:r>
        <w:rPr>
          <w:rFonts w:ascii="Liberation Sans" w:hAnsi="Liberation Sans" w:cs="Liberation Sans"/>
          <w:sz w:val="28"/>
          <w:szCs w:val="28"/>
        </w:rPr>
        <w:t xml:space="preserve">пункте 1</w:t>
      </w:r>
      <w:r>
        <w:rPr>
          <w:rFonts w:ascii="Liberation Sans" w:hAnsi="Liberation Sans" w:cs="Liberation Sans"/>
          <w:sz w:val="28"/>
          <w:szCs w:val="28"/>
        </w:rPr>
        <w:t xml:space="preserve"> и </w:t>
      </w:r>
      <w:r>
        <w:rPr>
          <w:rFonts w:ascii="Liberation Sans" w:hAnsi="Liberation Sans" w:cs="Liberation Sans"/>
          <w:sz w:val="28"/>
          <w:szCs w:val="28"/>
        </w:rPr>
        <w:t xml:space="preserve">абзаце четвертом пункта 2</w:t>
      </w:r>
      <w:r>
        <w:rPr>
          <w:rFonts w:ascii="Liberation Sans" w:hAnsi="Liberation Sans" w:cs="Liberation Sans"/>
          <w:sz w:val="28"/>
          <w:szCs w:val="28"/>
        </w:rPr>
        <w:t xml:space="preserve"> постановления Верховног</w:t>
      </w:r>
      <w:r>
        <w:rPr>
          <w:rFonts w:ascii="Liberation Sans" w:hAnsi="Liberation Sans" w:cs="Liberation Sans"/>
          <w:sz w:val="28"/>
          <w:szCs w:val="28"/>
        </w:rPr>
        <w:t xml:space="preserve">о Совета Российской Федерации от 27 декабря 1991 года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риска», </w:t>
      </w:r>
      <w:r>
        <w:rPr>
          <w:rFonts w:ascii="Liberation Sans" w:hAnsi="Liberation Sans" w:cs="Liberation Sans"/>
          <w:sz w:val="28"/>
          <w:szCs w:val="28"/>
        </w:rPr>
        <w:t xml:space="preserve">Указе</w:t>
      </w:r>
      <w:r>
        <w:rPr>
          <w:rFonts w:ascii="Liberation Sans" w:hAnsi="Liberation Sans" w:cs="Liberation Sans"/>
          <w:sz w:val="28"/>
          <w:szCs w:val="28"/>
        </w:rPr>
        <w:t xml:space="preserve"> Президента Российской Федерации от 23 января 2024 года № 63 «О мерах социальной поддержки многодетных семей» (Р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соц</w:t>
      </w:r>
      <w:r>
        <w:rPr>
          <w:rFonts w:ascii="Liberation Sans" w:hAnsi="Liberation Sans" w:cs="Liberation Sans"/>
          <w:sz w:val="28"/>
          <w:szCs w:val="28"/>
        </w:rPr>
        <w:t xml:space="preserve">, руб./кВт) в отношении всей совокупности мероприятий по технологическому присоединению, </w:t>
        <w:br/>
        <w:t xml:space="preserve">в размере 1 304,42 рублей (с учетом НДС) за каждый кВт запрашиваемой максимальной мощности.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rFonts w:ascii="Liberation Sans" w:hAnsi="Liberation Sans" w:cs="Liberation Sans"/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bookmarkStart w:id="0" w:name="undefined"/>
      <w:r>
        <w:rPr>
          <w:rFonts w:ascii="Liberation Sans" w:hAnsi="Liberation Sans" w:cs="Liberation Sans"/>
          <w:sz w:val="28"/>
          <w:szCs w:val="28"/>
        </w:rPr>
      </w:r>
      <w:bookmarkEnd w:id="0"/>
      <w:r>
        <w:rPr>
          <w:rFonts w:ascii="Liberation Sans" w:hAnsi="Liberation Sans" w:cs="Liberation Sans"/>
          <w:sz w:val="28"/>
          <w:szCs w:val="28"/>
        </w:rPr>
        <w:t xml:space="preserve">2. Установить льготную ставку за 1 кВт запрашиваемой максимальной мощности при</w:t>
      </w:r>
      <w:r>
        <w:rPr>
          <w:rFonts w:ascii="Liberation Sans" w:hAnsi="Liberation Sans" w:cs="Liberation Sans"/>
          <w:sz w:val="28"/>
          <w:szCs w:val="28"/>
        </w:rPr>
        <w:t xml:space="preserve"> технологическом присоединении объектов микрогенерации (за исключением случаев подачи заявки заявителем - юридическим лицом или индивидуальным предпринимателем в целях одновременного присоединения энергопринимающих устройств и объектов микрогенерации), в т</w:t>
      </w:r>
      <w:r>
        <w:rPr>
          <w:rFonts w:ascii="Liberation Sans" w:hAnsi="Liberation Sans" w:cs="Liberation Sans"/>
          <w:sz w:val="28"/>
          <w:szCs w:val="28"/>
        </w:rPr>
        <w:t xml:space="preserve">ом числе при одновременном технологическом присоединении энергопринимающих устройств заявителей - физических лиц, максимальная мощность которых не превышает 15 кВт включительно (с учетом ранее присоединенных в данной точке присоединения энергопринимающих у</w:t>
      </w:r>
      <w:r>
        <w:rPr>
          <w:rFonts w:ascii="Liberation Sans" w:hAnsi="Liberation Sans" w:cs="Liberation Sans"/>
          <w:sz w:val="28"/>
          <w:szCs w:val="28"/>
        </w:rPr>
        <w:t xml:space="preserve">стройств), которые используются для бытовых и иных нужд, не связанных с осуществлением предпринимательской деятельности, и объектов микрогенерации, а также энергопринимающих устройств заявителей - физических лиц, максимальная мощность которых не превышает </w:t>
      </w:r>
      <w:r>
        <w:rPr>
          <w:rFonts w:ascii="Liberation Sans" w:hAnsi="Liberation Sans" w:cs="Liberation Sans"/>
          <w:sz w:val="28"/>
          <w:szCs w:val="28"/>
        </w:rPr>
        <w:t xml:space="preserve">15 кВт включительно (с учетом ранее присоединенных в данной точке присоединения энергопринимающих устройств), которые используются для бытовых и иных нужд, не связанных с осуществлением предпринимательской деятельности, за исключением случаев, указанных в </w:t>
      </w:r>
      <w:hyperlink w:tooltip="1. Установить льготную ставку за 1 кВт запрашиваемой максимальной мощности при технологическом присоединении энергопринимающих устройств заявителей к электрическим сетям на территории Ямало-Ненецкого автономного округа (далее - технологическое присоединение энергопринимающих устройств) - физических лиц, максимальная мощность которых не превышает 15 кВт включительно (с учетом ранее присоединенных в данной точке присоединения энергопринимающих устройств), владеющих объектами, отнесенными к третьей категори..." w:anchor="P20" w:history="1">
        <w:r>
          <w:rPr>
            <w:rFonts w:ascii="Liberation Sans" w:hAnsi="Liberation Sans" w:cs="Liberation Sans"/>
            <w:color w:val="0000ff"/>
            <w:sz w:val="28"/>
            <w:szCs w:val="28"/>
          </w:rPr>
          <w:t xml:space="preserve">пункте 1</w:t>
        </w:r>
      </w:hyperlink>
      <w:r>
        <w:rPr>
          <w:rFonts w:ascii="Liberation Sans" w:hAnsi="Liberation Sans" w:cs="Liberation Sans"/>
          <w:sz w:val="28"/>
          <w:szCs w:val="28"/>
        </w:rPr>
        <w:t xml:space="preserve"> настоящего приказа, устанавливаемая в отношении всей совокупности мероприятий по </w:t>
      </w:r>
      <w:r>
        <w:rPr>
          <w:rFonts w:ascii="Liberation Sans" w:hAnsi="Liberation Sans" w:cs="Liberation Sans"/>
          <w:sz w:val="28"/>
          <w:szCs w:val="28"/>
        </w:rPr>
        <w:t xml:space="preserve">технологическому присоединению, при присоединении энергопринимающих устройств и (или) объектов микрогенерации по третьей категории надежности к объектам электросетевого хозяйства сетевой организации на уровне напряжения 0,4 кВ и ниже, при условии, что расс</w:t>
      </w:r>
      <w:r>
        <w:rPr>
          <w:rFonts w:ascii="Liberation Sans" w:hAnsi="Liberation Sans" w:cs="Liberation Sans"/>
          <w:sz w:val="28"/>
          <w:szCs w:val="28"/>
        </w:rPr>
        <w:t xml:space="preserve">тояние от границ участка заявителя до ближайшего объекта электрической сети необходимого заявителю класса напряжения, в которую подана заявка, составляет не более 300 метров в городах и поселках городского типа и не более 500 метров в сельской местности (Р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, руб./кВт) в размере </w:t>
      </w:r>
      <w:r>
        <w:rPr>
          <w:rFonts w:ascii="Liberation Sans" w:hAnsi="Liberation Sans" w:cs="Liberation Sans"/>
          <w:sz w:val="28"/>
          <w:szCs w:val="28"/>
        </w:rPr>
        <w:t xml:space="preserve">6</w:t>
      </w:r>
      <w:r>
        <w:rPr>
          <w:rFonts w:ascii="Liberation Sans" w:hAnsi="Liberation Sans" w:cs="Liberation Sans"/>
          <w:sz w:val="28"/>
          <w:szCs w:val="28"/>
        </w:rPr>
        <w:t xml:space="preserve"> </w:t>
      </w:r>
      <w:r>
        <w:rPr>
          <w:rFonts w:ascii="Liberation Sans" w:hAnsi="Liberation Sans" w:cs="Liberation Sans"/>
          <w:sz w:val="28"/>
          <w:szCs w:val="28"/>
        </w:rPr>
        <w:t xml:space="preserve">522</w:t>
      </w:r>
      <w:r>
        <w:rPr>
          <w:rFonts w:ascii="Liberation Sans" w:hAnsi="Liberation Sans" w:cs="Liberation Sans"/>
          <w:sz w:val="28"/>
          <w:szCs w:val="28"/>
        </w:rPr>
        <w:t xml:space="preserve">,</w:t>
      </w:r>
      <w:r>
        <w:rPr>
          <w:rFonts w:ascii="Liberation Sans" w:hAnsi="Liberation Sans" w:cs="Liberation Sans"/>
          <w:sz w:val="28"/>
          <w:szCs w:val="28"/>
        </w:rPr>
        <w:t xml:space="preserve">09</w:t>
      </w:r>
      <w:r>
        <w:rPr>
          <w:rFonts w:ascii="Liberation Sans" w:hAnsi="Liberation Sans" w:cs="Liberation Sans"/>
          <w:sz w:val="28"/>
          <w:szCs w:val="28"/>
        </w:rPr>
        <w:t xml:space="preserve"> рублей (с учетом НДС) за каждый кВт запрашиваемой максимальной мощности.</w:t>
      </w:r>
      <w:r>
        <w:rPr>
          <w:rFonts w:ascii="Liberation Sans" w:hAnsi="Liberation Sans" w:cs="Liberation Sans"/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bookmarkStart w:id="0" w:name="undefined"/>
      <w:r>
        <w:rPr>
          <w:rFonts w:ascii="Liberation Sans" w:hAnsi="Liberation Sans" w:cs="Liberation Sans"/>
          <w:sz w:val="28"/>
          <w:szCs w:val="28"/>
        </w:rPr>
      </w:r>
      <w:bookmarkEnd w:id="0"/>
      <w:r>
        <w:rPr>
          <w:rFonts w:ascii="Liberation Sans" w:hAnsi="Liberation Sans" w:cs="Liberation Sans"/>
          <w:sz w:val="28"/>
          <w:szCs w:val="28"/>
        </w:rPr>
        <w:t xml:space="preserve">3. Плата за технологическое присоединение лиц, указанных в </w:t>
      </w:r>
      <w:hyperlink w:tooltip="1. Установить льготную ставку за 1 кВт запрашиваемой максимальной мощности при технологическом присоединении энергопринимающих устройств заявителей к электрическим сетям на территории Ямало-Ненецкого автономного округа (далее - технологическое присоединение энергопринимающих устройств) - физических лиц, максимальная мощность которых не превышает 15 кВт включительно (с учетом ранее присоединенных в данной точке присоединения энергопринимающих устройств), владеющих объектами, отнесенными к третьей категори..." w:anchor="P20" w:history="1">
        <w:r>
          <w:rPr>
            <w:rFonts w:ascii="Liberation Sans" w:hAnsi="Liberation Sans" w:cs="Liberation Sans"/>
            <w:color w:val="0000ff"/>
            <w:sz w:val="28"/>
            <w:szCs w:val="28"/>
          </w:rPr>
          <w:t xml:space="preserve">пункте 1</w:t>
        </w:r>
      </w:hyperlink>
      <w:r>
        <w:rPr>
          <w:rFonts w:ascii="Liberation Sans" w:hAnsi="Liberation Sans" w:cs="Liberation Sans"/>
          <w:sz w:val="28"/>
          <w:szCs w:val="28"/>
        </w:rPr>
        <w:t xml:space="preserve"> настоящего приказа (Р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соц</w:t>
      </w:r>
      <w:r>
        <w:rPr>
          <w:rFonts w:ascii="Liberation Sans" w:hAnsi="Liberation Sans" w:cs="Liberation Sans"/>
          <w:sz w:val="28"/>
          <w:szCs w:val="28"/>
        </w:rPr>
        <w:t xml:space="preserve">), определяется в соответствии с формулой (1):</w:t>
      </w:r>
      <w:r>
        <w:rPr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соц</w:t>
      </w:r>
      <w:r>
        <w:rPr>
          <w:rFonts w:ascii="Liberation Sans" w:hAnsi="Liberation Sans" w:cs="Liberation Sans"/>
          <w:sz w:val="28"/>
          <w:szCs w:val="28"/>
        </w:rPr>
        <w:t xml:space="preserve"> = min {Р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станд.ст</w:t>
      </w:r>
      <w:r>
        <w:rPr>
          <w:rFonts w:ascii="Liberation Sans" w:hAnsi="Liberation Sans" w:cs="Liberation Sans"/>
          <w:sz w:val="28"/>
          <w:szCs w:val="28"/>
        </w:rPr>
        <w:t xml:space="preserve">; 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соц</w:t>
      </w:r>
      <w:r>
        <w:rPr>
          <w:rFonts w:ascii="Liberation Sans" w:hAnsi="Liberation Sans" w:cs="Liberation Sans"/>
          <w:sz w:val="28"/>
          <w:szCs w:val="28"/>
        </w:rPr>
        <w:t xml:space="preserve"> * N} (1),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где: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станд.ст.</w:t>
      </w:r>
      <w:r>
        <w:rPr>
          <w:rFonts w:ascii="Liberation Sans" w:hAnsi="Liberation Sans" w:cs="Liberation Sans"/>
          <w:sz w:val="28"/>
          <w:szCs w:val="28"/>
        </w:rPr>
        <w:t xml:space="preserve"> - стоимость мероприятий по технологическому присоединению, рассчитанная с использованием стандартизированных тарифных ставок по утвержденной регулирующим органом формуле платы за технологическое присоединение, руб.;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соц</w:t>
      </w:r>
      <w:r>
        <w:rPr>
          <w:rFonts w:ascii="Liberation Sans" w:hAnsi="Liberation Sans" w:cs="Liberation Sans"/>
          <w:sz w:val="28"/>
          <w:szCs w:val="28"/>
        </w:rPr>
        <w:t xml:space="preserve"> - 1 304,42 руб./кВт (с учетом НДС);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N - запрашиваемая максимальная мощность присоединяемых устройств, кВт.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4. Плата за технологическое присоединение лиц, указанных в </w:t>
      </w:r>
      <w:hyperlink w:tooltip="2. Установить льготную ставку за 1 кВт запрашиваемой максимальной мощности при технологическом присоединении объектов микрогенерации (за исключением случаев подачи заявки заявителем - юридическим лицом или индивидуальным предпринимателем в целях одновременного присоединения энергопринимающих устройств и объектов микрогенерации), в том числе при одновременном технологическом присоединении энергопринимающих устройств заявителей - физических лиц, максимальная мощность которых не превышает 15 кВт включительн..." w:anchor="P21" w:history="1">
        <w:r>
          <w:rPr>
            <w:rFonts w:ascii="Liberation Sans" w:hAnsi="Liberation Sans" w:cs="Liberation Sans"/>
            <w:color w:val="0000ff"/>
            <w:sz w:val="28"/>
            <w:szCs w:val="28"/>
          </w:rPr>
          <w:t xml:space="preserve">пункте 2</w:t>
        </w:r>
      </w:hyperlink>
      <w:r>
        <w:rPr>
          <w:rFonts w:ascii="Liberation Sans" w:hAnsi="Liberation Sans" w:cs="Liberation Sans"/>
          <w:sz w:val="28"/>
          <w:szCs w:val="28"/>
        </w:rPr>
        <w:t xml:space="preserve"> настоящего приказа (Р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), определяется в соответствии с формулой (2):</w:t>
      </w:r>
      <w:r>
        <w:rPr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 = min {Р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станд.ст</w:t>
      </w:r>
      <w:r>
        <w:rPr>
          <w:rFonts w:ascii="Liberation Sans" w:hAnsi="Liberation Sans" w:cs="Liberation Sans"/>
          <w:sz w:val="28"/>
          <w:szCs w:val="28"/>
        </w:rPr>
        <w:t xml:space="preserve">; max {Р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 * N; С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1.1</w:t>
      </w:r>
      <w:r>
        <w:rPr>
          <w:rFonts w:ascii="Liberation Sans" w:hAnsi="Liberation Sans" w:cs="Liberation Sans"/>
          <w:sz w:val="28"/>
          <w:szCs w:val="28"/>
        </w:rPr>
        <w:t xml:space="preserve"> + С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1.2.1</w:t>
      </w:r>
      <w:r>
        <w:rPr>
          <w:rFonts w:ascii="Liberation Sans" w:hAnsi="Liberation Sans" w:cs="Liberation Sans"/>
          <w:sz w:val="28"/>
          <w:szCs w:val="28"/>
        </w:rPr>
        <w:t xml:space="preserve"> </w:t>
      </w:r>
      <w:r>
        <w:rPr>
          <w:rFonts w:ascii="Liberation Sans" w:hAnsi="Liberation Sans" w:cs="Liberation Sans"/>
          <w:sz w:val="28"/>
          <w:szCs w:val="28"/>
        </w:rPr>
        <w:t xml:space="preserve">+ С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8</w:t>
      </w:r>
      <w:r>
        <w:rPr>
          <w:rFonts w:ascii="Liberation Sans" w:hAnsi="Liberation Sans" w:cs="Liberation Sans"/>
          <w:sz w:val="28"/>
          <w:szCs w:val="28"/>
        </w:rPr>
        <w:t xml:space="preserve"> * q} (2),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где: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станд.ст.</w:t>
      </w:r>
      <w:r>
        <w:rPr>
          <w:rFonts w:ascii="Liberation Sans" w:hAnsi="Liberation Sans" w:cs="Liberation Sans"/>
          <w:sz w:val="28"/>
          <w:szCs w:val="28"/>
        </w:rPr>
        <w:t xml:space="preserve"> - стоимость мероприятий по технологическому присоединению, рассчитанная с использованием стандартизированных тарифных ставок по утвержденной регулирующим органом формуле платы за технологическое присоединение, руб.;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 (руб./кВт) - </w:t>
      </w:r>
      <w:r>
        <w:rPr>
          <w:rFonts w:ascii="Liberation Sans" w:hAnsi="Liberation Sans" w:cs="Liberation Sans"/>
          <w:sz w:val="28"/>
          <w:szCs w:val="28"/>
        </w:rPr>
        <w:t xml:space="preserve">6</w:t>
      </w:r>
      <w:r>
        <w:rPr>
          <w:rFonts w:ascii="Liberation Sans" w:hAnsi="Liberation Sans" w:cs="Liberation Sans"/>
          <w:sz w:val="28"/>
          <w:szCs w:val="28"/>
        </w:rPr>
        <w:t xml:space="preserve"> </w:t>
      </w:r>
      <w:r>
        <w:rPr>
          <w:rFonts w:ascii="Liberation Sans" w:hAnsi="Liberation Sans" w:cs="Liberation Sans"/>
          <w:sz w:val="28"/>
          <w:szCs w:val="28"/>
        </w:rPr>
        <w:t xml:space="preserve">522</w:t>
      </w:r>
      <w:r>
        <w:rPr>
          <w:rFonts w:ascii="Liberation Sans" w:hAnsi="Liberation Sans" w:cs="Liberation Sans"/>
          <w:sz w:val="28"/>
          <w:szCs w:val="28"/>
        </w:rPr>
        <w:t xml:space="preserve">,</w:t>
      </w:r>
      <w:r>
        <w:rPr>
          <w:rFonts w:ascii="Liberation Sans" w:hAnsi="Liberation Sans" w:cs="Liberation Sans"/>
          <w:sz w:val="28"/>
          <w:szCs w:val="28"/>
        </w:rPr>
        <w:t xml:space="preserve">09</w:t>
      </w:r>
      <w:r>
        <w:rPr>
          <w:rFonts w:ascii="Liberation Sans" w:hAnsi="Liberation Sans" w:cs="Liberation Sans"/>
          <w:sz w:val="28"/>
          <w:szCs w:val="28"/>
        </w:rPr>
        <w:t xml:space="preserve"> руб./кВт (с учетом НДС);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N - запрашиваемая максимальная мощность присоединяемых устройств, кВт.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bookmarkStart w:id="0" w:name="undefined"/>
      <w:r>
        <w:rPr>
          <w:rFonts w:ascii="Liberation Sans" w:hAnsi="Liberation Sans" w:cs="Liberation Sans"/>
          <w:sz w:val="28"/>
          <w:szCs w:val="28"/>
        </w:rPr>
      </w:r>
      <w:bookmarkEnd w:id="0"/>
      <w:r>
        <w:rPr>
          <w:rFonts w:ascii="Liberation Sans" w:hAnsi="Liberation Sans" w:cs="Liberation Sans"/>
          <w:sz w:val="28"/>
          <w:szCs w:val="28"/>
        </w:rPr>
        <w:t xml:space="preserve">5. В случае подачи заявки заявителем - юридическим лицом или индивидуальным предпринимателем в целях технологического присоединения объектов микрогенерации, а также одновременного технологического присоединения объектов микрогене</w:t>
      </w:r>
      <w:r>
        <w:rPr>
          <w:rFonts w:ascii="Liberation Sans" w:hAnsi="Liberation Sans" w:cs="Liberation Sans"/>
          <w:sz w:val="28"/>
          <w:szCs w:val="28"/>
        </w:rPr>
        <w:t xml:space="preserve">рации и энергопринимающих устройств максимальной мощностью до 150 кВт включительно (с учетом ранее присоединенных в данной точке присоединения энергопринимающих устройств), присоединяемых по третьей категории надежности к объектам электросетевого хозяйства</w:t>
      </w:r>
      <w:r>
        <w:rPr>
          <w:rFonts w:ascii="Liberation Sans" w:hAnsi="Liberation Sans" w:cs="Liberation Sans"/>
          <w:sz w:val="28"/>
          <w:szCs w:val="28"/>
        </w:rPr>
        <w:t xml:space="preserve"> сетевой организации на уровне напряжения 0,4 кВ и ниже, при условии, что расстояние от этих энергопринимающих устройств и (или) объектов микрогенерации до существующих объектов электросетевого хозяйства сетевых организаций составляет не более 200 метров в</w:t>
      </w:r>
      <w:r>
        <w:rPr>
          <w:rFonts w:ascii="Liberation Sans" w:hAnsi="Liberation Sans" w:cs="Liberation Sans"/>
          <w:sz w:val="28"/>
          <w:szCs w:val="28"/>
        </w:rPr>
        <w:t xml:space="preserve"> г</w:t>
      </w:r>
      <w:r>
        <w:rPr>
          <w:rFonts w:ascii="Liberation Sans" w:hAnsi="Liberation Sans" w:cs="Liberation Sans"/>
          <w:sz w:val="28"/>
          <w:szCs w:val="28"/>
        </w:rPr>
        <w:t xml:space="preserve">ородах и поселках городского типа и не более 300 метров в сельской местности, в состав платы за технологическое присоединение энергопринимающих устройств не включаются расходы, связанные со строительством объектов электросетевого хозяйства - от существующи</w:t>
      </w:r>
      <w:r>
        <w:rPr>
          <w:rFonts w:ascii="Liberation Sans" w:hAnsi="Liberation Sans" w:cs="Liberation Sans"/>
          <w:sz w:val="28"/>
          <w:szCs w:val="28"/>
        </w:rPr>
        <w:t xml:space="preserve">х </w:t>
      </w:r>
      <w:r>
        <w:rPr>
          <w:rFonts w:ascii="Liberation Sans" w:hAnsi="Liberation Sans" w:cs="Liberation Sans"/>
          <w:sz w:val="28"/>
          <w:szCs w:val="28"/>
        </w:rPr>
        <w:t xml:space="preserve">объектов электросетевого хозяйства до присоединяемых энергопринимающих устройств и (или) объектов электроэнергетики, и плата за технологическое присоединение указанных объектов микрогенерации и (или) энергопринимающих устройств определяется по формуле (3):</w:t>
      </w:r>
      <w:r>
        <w:rPr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 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ЭПУ до 150+мкг</w:t>
      </w:r>
      <w:r>
        <w:rPr>
          <w:rFonts w:ascii="Liberation Sans" w:hAnsi="Liberation Sans" w:cs="Liberation Sans"/>
          <w:sz w:val="28"/>
          <w:szCs w:val="28"/>
        </w:rPr>
        <w:t xml:space="preserve"> = min {Р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станд.ст</w:t>
      </w:r>
      <w:r>
        <w:rPr>
          <w:rFonts w:ascii="Liberation Sans" w:hAnsi="Liberation Sans" w:cs="Liberation Sans"/>
          <w:sz w:val="28"/>
          <w:szCs w:val="28"/>
        </w:rPr>
        <w:t xml:space="preserve">; 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 · N} </w:t>
      </w:r>
      <w:r>
        <w:rPr>
          <w:rFonts w:ascii="Liberation Sans" w:hAnsi="Liberation Sans" w:cs="Liberation Sans"/>
          <w:sz w:val="28"/>
          <w:szCs w:val="28"/>
        </w:rPr>
        <w:t xml:space="preserve">+ 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ЭПУ до 150</w:t>
      </w:r>
      <w:r>
        <w:rPr>
          <w:rFonts w:ascii="Liberation Sans" w:hAnsi="Liberation Sans" w:cs="Liberation Sans"/>
          <w:sz w:val="28"/>
          <w:szCs w:val="28"/>
        </w:rPr>
        <w:t xml:space="preserve"> (3),</w:t>
      </w:r>
      <w:r>
        <w:rPr>
          <w:rFonts w:ascii="Liberation Sans" w:hAnsi="Liberation Sans" w:cs="Liberation Sans"/>
          <w:sz w:val="28"/>
          <w:szCs w:val="28"/>
        </w:rPr>
      </w:r>
      <w:r/>
    </w:p>
    <w:p>
      <w:pPr>
        <w:pStyle w:val="867"/>
        <w:contextualSpacing/>
        <w:jc w:val="center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где: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станд.ст.</w:t>
      </w:r>
      <w:r>
        <w:rPr>
          <w:rFonts w:ascii="Liberation Sans" w:hAnsi="Liberation Sans" w:cs="Liberation Sans"/>
          <w:sz w:val="28"/>
          <w:szCs w:val="28"/>
        </w:rPr>
        <w:t xml:space="preserve"> - стоимость мероприятий по технологическому присоединению, рассчитанная с использованием стандартизированных тарифных ставок по утвержденной регулирующим органом формуле платы за технологическое присоединение, руб.;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несоц</w:t>
      </w:r>
      <w:r>
        <w:rPr>
          <w:rFonts w:ascii="Liberation Sans" w:hAnsi="Liberation Sans" w:cs="Liberation Sans"/>
          <w:sz w:val="28"/>
          <w:szCs w:val="28"/>
        </w:rPr>
        <w:t xml:space="preserve"> (руб./кВт) - </w:t>
      </w:r>
      <w:r>
        <w:rPr>
          <w:rFonts w:ascii="Liberation Sans" w:hAnsi="Liberation Sans" w:cs="Liberation Sans"/>
          <w:sz w:val="28"/>
          <w:szCs w:val="28"/>
        </w:rPr>
        <w:t xml:space="preserve">6</w:t>
      </w:r>
      <w:r>
        <w:rPr>
          <w:rFonts w:ascii="Liberation Sans" w:hAnsi="Liberation Sans" w:cs="Liberation Sans"/>
          <w:sz w:val="28"/>
          <w:szCs w:val="28"/>
        </w:rPr>
        <w:t xml:space="preserve"> </w:t>
      </w:r>
      <w:r>
        <w:rPr>
          <w:rFonts w:ascii="Liberation Sans" w:hAnsi="Liberation Sans" w:cs="Liberation Sans"/>
          <w:sz w:val="28"/>
          <w:szCs w:val="28"/>
        </w:rPr>
        <w:t xml:space="preserve">522</w:t>
      </w:r>
      <w:r>
        <w:rPr>
          <w:rFonts w:ascii="Liberation Sans" w:hAnsi="Liberation Sans" w:cs="Liberation Sans"/>
          <w:sz w:val="28"/>
          <w:szCs w:val="28"/>
        </w:rPr>
        <w:t xml:space="preserve">,</w:t>
      </w:r>
      <w:r>
        <w:rPr>
          <w:rFonts w:ascii="Liberation Sans" w:hAnsi="Liberation Sans" w:cs="Liberation Sans"/>
          <w:sz w:val="28"/>
          <w:szCs w:val="28"/>
        </w:rPr>
        <w:t xml:space="preserve">09</w:t>
      </w:r>
      <w:r>
        <w:rPr>
          <w:rFonts w:ascii="Liberation Sans" w:hAnsi="Liberation Sans" w:cs="Liberation Sans"/>
          <w:sz w:val="28"/>
          <w:szCs w:val="28"/>
        </w:rPr>
        <w:t xml:space="preserve"> руб./кВт (с учетом НДС);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N - запрашиваемая максимальная мощность присоединяемых устройств, кВт.</w:t>
      </w:r>
      <w:r>
        <w:rPr>
          <w:sz w:val="28"/>
          <w:szCs w:val="28"/>
        </w:rPr>
      </w:r>
      <w:r/>
    </w:p>
    <w:p>
      <w:pPr>
        <w:pStyle w:val="867"/>
        <w:contextualSpacing/>
        <w:ind w:firstLine="540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Р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ЭПУ до 150</w:t>
      </w:r>
      <w:r>
        <w:rPr>
          <w:rFonts w:ascii="Liberation Sans" w:hAnsi="Liberation Sans" w:cs="Liberation Sans"/>
          <w:sz w:val="28"/>
          <w:szCs w:val="28"/>
        </w:rPr>
        <w:t xml:space="preserve"> - плата за технологическое присоединение энергопринимающих устройств максимальной мощностью до 150 кВт включительно (с учетом ранее присоединен</w:t>
      </w:r>
      <w:r>
        <w:rPr>
          <w:rFonts w:ascii="Liberation Sans" w:hAnsi="Liberation Sans" w:cs="Liberation Sans"/>
          <w:sz w:val="28"/>
          <w:szCs w:val="28"/>
        </w:rPr>
        <w:t xml:space="preserve">ных в данной точке присоединения энергопринимающих устройств), присоединяемых по третьей категории надежности к объектам электросетевого хозяйства сетевой организации на уровне напряжения 0,4 кВ и ниже, при условии, что расстояние от этих энергопринимающих</w:t>
      </w:r>
      <w:r>
        <w:rPr>
          <w:rFonts w:ascii="Liberation Sans" w:hAnsi="Liberation Sans" w:cs="Liberation Sans"/>
          <w:sz w:val="28"/>
          <w:szCs w:val="28"/>
        </w:rPr>
        <w:t xml:space="preserve"> устройств и (или) объектов микрогенерации до существующих объектов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местности, определяемая в соответствии с </w:t>
      </w:r>
      <w:r>
        <w:rPr>
          <w:rFonts w:ascii="Liberation Sans" w:hAnsi="Liberation Sans" w:cs="Liberation Sans"/>
          <w:sz w:val="28"/>
          <w:szCs w:val="28"/>
        </w:rPr>
        <w:t xml:space="preserve">пунктом 12</w:t>
      </w:r>
      <w:r>
        <w:rPr>
          <w:rFonts w:ascii="Liberation Sans" w:hAnsi="Liberation Sans" w:cs="Liberation Sans"/>
          <w:sz w:val="28"/>
          <w:szCs w:val="28"/>
        </w:rPr>
        <w:t xml:space="preserve"> Методических указаний по определению размера платы за технологическое присоединение к электрическим сетям, утвержденных приказом ФАС России от 30 июня 2022 года № 490/22; рублей. При технологическом присоединении только объектов микрогенерации P</w:t>
      </w:r>
      <w:r>
        <w:rPr>
          <w:rFonts w:ascii="Liberation Sans" w:hAnsi="Liberation Sans" w:cs="Liberation Sans"/>
          <w:sz w:val="28"/>
          <w:szCs w:val="28"/>
          <w:vertAlign w:val="subscript"/>
        </w:rPr>
        <w:t xml:space="preserve">ЭПУ до 150</w:t>
      </w:r>
      <w:r>
        <w:rPr>
          <w:rFonts w:ascii="Liberation Sans" w:hAnsi="Liberation Sans" w:cs="Liberation Sans"/>
          <w:sz w:val="28"/>
          <w:szCs w:val="28"/>
        </w:rPr>
        <w:t xml:space="preserve"> приравнивается к нулю.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6. Положения о размере платы за технологическое присоединение, указанные в </w:t>
      </w:r>
      <w:hyperlink w:tooltip="3. Плата за технологическое присоединение лиц, указанных в пункте 1 настоящего приказа (Рсоц), определяется в соответствии с формулой (1):" w:anchor="P23" w:history="1">
        <w:r>
          <w:rPr>
            <w:rFonts w:ascii="Liberation Sans" w:hAnsi="Liberation Sans" w:cs="Liberation Sans"/>
            <w:color w:val="0000ff"/>
            <w:sz w:val="28"/>
            <w:szCs w:val="28"/>
          </w:rPr>
          <w:t xml:space="preserve">пунктах 3</w:t>
        </w:r>
      </w:hyperlink>
      <w:r>
        <w:rPr>
          <w:rFonts w:ascii="Liberation Sans" w:hAnsi="Liberation Sans" w:cs="Liberation Sans"/>
          <w:sz w:val="28"/>
          <w:szCs w:val="28"/>
        </w:rPr>
        <w:t xml:space="preserve"> - </w:t>
      </w:r>
      <w:hyperlink w:tooltip="5. В случае подачи заявки заявителем - юридическим лицом или индивидуальным предпринимателем в целях технологического присоединения объектов микрогенерации, а также одновременного технологического присоединения объектов микрогенерации и энергопринимающих устройств максимальной мощностью до 150 кВт включительно (с учетом ранее присоединенных в данной точке присоединения энергопринимающих устройств), присоединяемых по третьей категории надежности к объектам электросетевого хозяйства сетевой организации на ..." w:anchor="P43" w:history="1">
        <w:r>
          <w:rPr>
            <w:rFonts w:ascii="Liberation Sans" w:hAnsi="Liberation Sans" w:cs="Liberation Sans"/>
            <w:color w:val="0000ff"/>
            <w:sz w:val="28"/>
            <w:szCs w:val="28"/>
          </w:rPr>
          <w:t xml:space="preserve">5</w:t>
        </w:r>
      </w:hyperlink>
      <w:r>
        <w:rPr>
          <w:rFonts w:ascii="Liberation Sans" w:hAnsi="Liberation Sans" w:cs="Liberation Sans"/>
          <w:sz w:val="28"/>
          <w:szCs w:val="28"/>
        </w:rPr>
        <w:t xml:space="preserve"> настоящего приказа, не могут быть применены в следующих случаях: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6.1. при технологическом присоединении энергопринимающих устройств (объектов микрогенерации), принадлежащих лицам, которым права владения и (или)</w:t>
      </w:r>
      <w:r>
        <w:rPr>
          <w:rFonts w:ascii="Liberation Sans" w:hAnsi="Liberation Sans" w:cs="Liberation Sans"/>
          <w:sz w:val="28"/>
          <w:szCs w:val="28"/>
        </w:rPr>
        <w:t xml:space="preserve"> пользования земельным участком (в том числе при его использовании без предоставления на основании разрешения) и (или) объектом капитального строительства (нежилым помещением в объекте капитального строительства) предоставлены на срок не более одного года;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6.2. при технологическом присоединении энергопринимающих устройств (объектов микрогенерации), расположенных в жилых помещениях многоквартирных домов;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6.3. при технологическом присоединении в границах территории Ямало-Ненецкого автономного округа энергопринимающих устройств (объектов микрогенерации), соответствующих критериям, указанным в </w:t>
      </w:r>
      <w:r>
        <w:rPr>
          <w:rFonts w:ascii="Liberation Sans" w:hAnsi="Liberation Sans" w:cs="Liberation Sans"/>
          <w:sz w:val="28"/>
          <w:szCs w:val="28"/>
        </w:rPr>
        <w:t xml:space="preserve">абзацах первом, четвертом, пятом, двадцатом и двадцать шестом </w:t>
      </w:r>
      <w:r>
        <w:rPr>
          <w:rFonts w:ascii="Liberation Sans" w:hAnsi="Liberation Sans" w:cs="Liberation Sans"/>
          <w:sz w:val="28"/>
          <w:szCs w:val="28"/>
        </w:rPr>
        <w:t xml:space="preserve">пункта 17</w:t>
      </w:r>
      <w:r>
        <w:rPr>
          <w:rFonts w:ascii="Liberation Sans" w:hAnsi="Liberation Sans" w:cs="Liberation Sans"/>
          <w:sz w:val="28"/>
          <w:szCs w:val="28"/>
        </w:rPr>
        <w:t xml:space="preserve"> Правил технологического присоединения энергопринимающих устройств потребителей эле</w:t>
      </w:r>
      <w:r>
        <w:rPr>
          <w:rFonts w:ascii="Liberation Sans" w:hAnsi="Liberation Sans" w:cs="Liberation Sans"/>
          <w:sz w:val="28"/>
          <w:szCs w:val="28"/>
        </w:rPr>
        <w:t xml:space="preserve">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</w:t>
      </w:r>
      <w:r>
        <w:rPr>
          <w:rFonts w:ascii="Liberation Sans" w:hAnsi="Liberation Sans" w:cs="Liberation Sans"/>
          <w:sz w:val="28"/>
          <w:szCs w:val="28"/>
        </w:rPr>
        <w:t xml:space="preserve">кабря 2004 года № 861 (далее - Правила присоединения), если лицом, обратившимся с заявкой, лицом, передавшим заявителю права владения объектом капитального строительства (нежилым помещением в нем) и (или) земельным участком (в том числе их частью), на кото</w:t>
      </w:r>
      <w:r>
        <w:rPr>
          <w:rFonts w:ascii="Liberation Sans" w:hAnsi="Liberation Sans" w:cs="Liberation Sans"/>
          <w:sz w:val="28"/>
          <w:szCs w:val="28"/>
        </w:rPr>
        <w:t xml:space="preserve">рых или в которых расположены (будут располагаться) энергопринимающие устройства заявителя), ранее уже была подана заявка, которая не была аннулирована, или заключен договор в целях технологического присоединения энергопринимающих устройств (объектов микро</w:t>
      </w:r>
      <w:r>
        <w:rPr>
          <w:rFonts w:ascii="Liberation Sans" w:hAnsi="Liberation Sans" w:cs="Liberation Sans"/>
          <w:sz w:val="28"/>
          <w:szCs w:val="28"/>
        </w:rPr>
        <w:t xml:space="preserve">генерации), соответствующих указанным критериям, расположенных (предполагаемых к расположению в соответствии с поданной заявкой) в границах территории Ямало-Ненецкого автономного округа, при условии, что со дня заключения такого договора не истекло 3 года;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  <w:t xml:space="preserve">6.4. при технологическом присоединении энергопринимающих устройств заявителей, соответствующих критериям, указанным в </w:t>
      </w:r>
      <w:r>
        <w:rPr>
          <w:rFonts w:ascii="Liberation Sans" w:hAnsi="Liberation Sans" w:cs="Liberation Sans"/>
          <w:sz w:val="28"/>
          <w:szCs w:val="28"/>
        </w:rPr>
        <w:t xml:space="preserve">абзацах </w:t>
      </w:r>
      <w:r>
        <w:rPr>
          <w:rFonts w:ascii="Liberation Sans" w:hAnsi="Liberation Sans" w:cs="Liberation Sans"/>
          <w:sz w:val="28"/>
          <w:szCs w:val="28"/>
        </w:rPr>
        <w:t xml:space="preserve">первом, четвертом, пятом, двадцатом и двадцать шестом </w:t>
      </w:r>
      <w:r>
        <w:rPr>
          <w:rFonts w:ascii="Liberation Sans" w:hAnsi="Liberation Sans" w:cs="Liberation Sans"/>
          <w:sz w:val="28"/>
          <w:szCs w:val="28"/>
        </w:rPr>
        <w:t xml:space="preserve"> пункта 17</w:t>
      </w:r>
      <w:r>
        <w:rPr>
          <w:rFonts w:ascii="Liberation Sans" w:hAnsi="Liberation Sans" w:cs="Liberation Sans"/>
          <w:sz w:val="28"/>
          <w:szCs w:val="28"/>
        </w:rPr>
        <w:t xml:space="preserve"> Правил присоединения, если такие устройств</w:t>
      </w:r>
      <w:r>
        <w:rPr>
          <w:rFonts w:ascii="Liberation Sans" w:hAnsi="Liberation Sans" w:cs="Liberation Sans"/>
          <w:sz w:val="28"/>
          <w:szCs w:val="28"/>
        </w:rPr>
        <w:t xml:space="preserve">а расположены (будут располагаться) в границах того же земельного участка (или в границах того же сервитута либо территории, используемой на основании разрешения без предоставления земельного участка или установления сервитута), на котором расположены (буд</w:t>
      </w:r>
      <w:r>
        <w:rPr>
          <w:rFonts w:ascii="Liberation Sans" w:hAnsi="Liberation Sans" w:cs="Liberation Sans"/>
          <w:sz w:val="28"/>
          <w:szCs w:val="28"/>
        </w:rPr>
        <w:t xml:space="preserve">ут располагаться) энергопринимающие устройства, в отношении которых ранее уже была подана заявка, которая не была аннулирована, или заключен договор в целях технологического присоединения энергопринимающих устройств, соответствующих критериям, указанным в </w:t>
      </w:r>
      <w:r>
        <w:rPr>
          <w:rFonts w:ascii="Liberation Sans" w:hAnsi="Liberation Sans" w:cs="Liberation Sans"/>
          <w:sz w:val="28"/>
          <w:szCs w:val="28"/>
        </w:rPr>
        <w:t xml:space="preserve">абзацах </w:t>
      </w:r>
      <w:r>
        <w:rPr>
          <w:rFonts w:ascii="Liberation Sans" w:hAnsi="Liberation Sans" w:cs="Liberation Sans"/>
          <w:sz w:val="28"/>
          <w:szCs w:val="28"/>
        </w:rPr>
        <w:t xml:space="preserve">первом, четвертом, пятом, двадцатом и двадцать шестом </w:t>
      </w:r>
      <w:r>
        <w:rPr>
          <w:rFonts w:ascii="Liberation Sans" w:hAnsi="Liberation Sans" w:cs="Liberation Sans"/>
          <w:sz w:val="28"/>
          <w:szCs w:val="28"/>
        </w:rPr>
        <w:t xml:space="preserve"> пункта 17</w:t>
      </w:r>
      <w:r>
        <w:rPr>
          <w:rFonts w:ascii="Liberation Sans" w:hAnsi="Liberation Sans" w:cs="Liberation Sans"/>
          <w:sz w:val="28"/>
          <w:szCs w:val="28"/>
        </w:rPr>
        <w:t xml:space="preserve"> Правил присоединения, при условии, что со дня заключения такого договора не истекло 3 года (положения настоящего подпункта  применяются также в случаях, когда энергопринимающие устройства расположены (будут располаг</w:t>
      </w:r>
      <w:r>
        <w:rPr>
          <w:rFonts w:ascii="Liberation Sans" w:hAnsi="Liberation Sans" w:cs="Liberation Sans"/>
          <w:sz w:val="28"/>
          <w:szCs w:val="28"/>
        </w:rPr>
        <w:t xml:space="preserve">а</w:t>
      </w:r>
      <w:r>
        <w:rPr>
          <w:rFonts w:ascii="Liberation Sans" w:hAnsi="Liberation Sans" w:cs="Liberation Sans"/>
          <w:sz w:val="28"/>
          <w:szCs w:val="28"/>
        </w:rPr>
        <w:t xml:space="preserve">ться) на земельных участках, образованных путем разделения, выделения или перераспределения после подачи заявки и (или) заключения договора в отношении энергопринимающих устройств, расположенных (планируемых </w:t>
        <w:br/>
        <w:t xml:space="preserve">к расположению) на исходном земельном участке).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rFonts w:ascii="Liberation Sans" w:hAnsi="Liberation Sans" w:cs="Liberation Sans"/>
          <w:sz w:val="28"/>
          <w:szCs w:val="28"/>
          <w:highlight w:val="none"/>
        </w:rPr>
      </w:pPr>
      <w:r>
        <w:rPr>
          <w:rFonts w:ascii="Liberation Sans" w:hAnsi="Liberation Sans" w:cs="Liberation Sans"/>
          <w:sz w:val="28"/>
          <w:szCs w:val="28"/>
        </w:rPr>
        <w:t xml:space="preserve">7. Настоящий приказ вступает в силу с 01 января 2026 года.</w:t>
      </w:r>
      <w:r>
        <w:rPr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rFonts w:ascii="Liberation Sans" w:hAnsi="Liberation Sans" w:cs="Liberation Sans"/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rFonts w:ascii="Liberation Sans" w:hAnsi="Liberation Sans" w:cs="Liberation Sans"/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rFonts w:ascii="Liberation Sans" w:hAnsi="Liberation Sans" w:cs="Liberation Sans"/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rFonts w:ascii="Liberation Sans" w:hAnsi="Liberation Sans" w:cs="Liberation Sans"/>
          <w:sz w:val="28"/>
          <w:szCs w:val="28"/>
        </w:rPr>
      </w:r>
      <w:r/>
    </w:p>
    <w:p>
      <w:pPr>
        <w:pStyle w:val="867"/>
        <w:contextualSpacing/>
        <w:ind w:left="0" w:right="0" w:firstLine="709"/>
        <w:jc w:val="both"/>
        <w:spacing w:before="0" w:beforeAutospacing="0"/>
        <w:rPr>
          <w:rFonts w:ascii="Liberation Sans" w:hAnsi="Liberation Sans" w:cs="Liberation Sans"/>
          <w:sz w:val="28"/>
          <w:szCs w:val="28"/>
        </w:rPr>
      </w:pPr>
      <w:r>
        <w:rPr>
          <w:rFonts w:ascii="Liberation Sans" w:hAnsi="Liberation Sans" w:cs="Liberation Sans"/>
          <w:sz w:val="28"/>
          <w:szCs w:val="28"/>
        </w:rPr>
      </w:r>
      <w:r>
        <w:rPr>
          <w:rFonts w:ascii="Liberation Sans" w:hAnsi="Liberation Sans" w:cs="Liberation Sans"/>
          <w:sz w:val="28"/>
          <w:szCs w:val="28"/>
        </w:rPr>
      </w:r>
      <w:r/>
    </w:p>
    <w:p>
      <w:pPr>
        <w:ind w:left="-142"/>
        <w:rPr>
          <w:sz w:val="28"/>
          <w:szCs w:val="28"/>
        </w:rPr>
      </w:pPr>
      <w:r>
        <w:rPr>
          <w:sz w:val="28"/>
          <w:szCs w:val="28"/>
          <w:highlight w:val="white"/>
        </w:rPr>
      </w:r>
      <w:bookmarkStart w:id="0" w:name="undefined"/>
      <w:r>
        <w:rPr>
          <w:rFonts w:ascii="Liberation Sans" w:hAnsi="Liberation Sans" w:eastAsia="Liberation Serif" w:cs="Liberation Sans"/>
          <w:bCs/>
          <w:color w:val="000000" w:themeColor="text1"/>
          <w:sz w:val="28"/>
          <w:szCs w:val="28"/>
          <w:highlight w:val="none"/>
        </w:rPr>
        <w:t xml:space="preserve">И.о. д</w:t>
      </w:r>
      <w:r>
        <w:rPr>
          <w:rFonts w:ascii="Liberation Sans" w:hAnsi="Liberation Sans" w:eastAsia="Liberation Serif" w:cs="Liberation Sans"/>
          <w:bCs/>
          <w:color w:val="000000" w:themeColor="text1"/>
          <w:sz w:val="28"/>
          <w:szCs w:val="28"/>
          <w:highlight w:val="white"/>
        </w:rPr>
        <w:t xml:space="preserve">иректора департамента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  <w:t xml:space="preserve"> тарифной </w:t>
      </w:r>
      <w:r>
        <w:rPr>
          <w:sz w:val="28"/>
          <w:szCs w:val="28"/>
        </w:rPr>
      </w:r>
      <w:r/>
    </w:p>
    <w:p>
      <w:pPr>
        <w:ind w:left="-142"/>
        <w:rPr>
          <w:sz w:val="28"/>
          <w:szCs w:val="28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  <w:t xml:space="preserve">политики, энергетики </w:t>
      </w:r>
      <w:r>
        <w:rPr>
          <w:sz w:val="28"/>
          <w:szCs w:val="28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  <w:t xml:space="preserve">и жилищно-коммунального комплекса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sz w:val="28"/>
          <w:szCs w:val="28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  <w:t xml:space="preserve">Ямало-Ненецкого автономного округа</w:t>
      </w:r>
      <w:r>
        <w:rPr>
          <w:rFonts w:ascii="Liberation Sans" w:hAnsi="Liberation Sans" w:eastAsia="Liberation Serif" w:cs="Liberation Sans"/>
          <w:bCs/>
          <w:color w:val="000000" w:themeColor="text1"/>
          <w:sz w:val="28"/>
          <w:szCs w:val="28"/>
          <w:highlight w:val="white"/>
        </w:rPr>
        <w:t xml:space="preserve">            </w:t>
      </w:r>
      <w:r>
        <w:rPr>
          <w:rFonts w:ascii="Liberation Sans" w:hAnsi="Liberation Sans" w:eastAsia="Liberation Serif" w:cs="Liberation Sans"/>
          <w:bCs/>
          <w:sz w:val="28"/>
          <w:szCs w:val="28"/>
          <w:highlight w:val="white"/>
        </w:rPr>
        <w:t xml:space="preserve">                </w:t>
      </w:r>
      <w:bookmarkEnd w:id="0"/>
      <w:r>
        <w:rPr>
          <w:rFonts w:ascii="Liberation Sans" w:hAnsi="Liberation Sans" w:eastAsia="Liberation Serif" w:cs="Liberation Sans"/>
          <w:bCs/>
          <w:sz w:val="28"/>
          <w:szCs w:val="28"/>
          <w:highlight w:val="white"/>
        </w:rPr>
        <w:t xml:space="preserve">      </w:t>
      </w:r>
      <w:r>
        <w:rPr>
          <w:rFonts w:ascii="Liberation Sans" w:hAnsi="Liberation Sans" w:eastAsia="Liberation Serif" w:cs="Liberation Sans"/>
          <w:bCs/>
          <w:sz w:val="28"/>
          <w:szCs w:val="28"/>
          <w:highlight w:val="none"/>
        </w:rPr>
        <w:t xml:space="preserve">  В.А. Зиангиров</w:t>
      </w:r>
      <w:r>
        <w:rPr>
          <w:rFonts w:ascii="Liberation Sans" w:hAnsi="Liberation Sans" w:eastAsia="Liberation Serif" w:cs="Liberation Sans"/>
          <w:bCs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ind w:left="-142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</w:rPr>
      </w:r>
      <w:r/>
    </w:p>
    <w:p>
      <w:pPr>
        <w:pStyle w:val="869"/>
        <w:contextualSpacing/>
        <w:ind w:left="0" w:right="0" w:firstLine="0"/>
        <w:jc w:val="both"/>
        <w:rPr>
          <w:rFonts w:ascii="Liberation Sans" w:hAnsi="Liberation Sans"/>
          <w:b w:val="0"/>
          <w:bCs w:val="0"/>
          <w:sz w:val="28"/>
          <w:szCs w:val="28"/>
        </w:rPr>
      </w:pPr>
      <w:r>
        <w:rPr>
          <w:rFonts w:ascii="Liberation Sans" w:hAnsi="Liberation Sans" w:cs="Liberation Sans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00" w:right="567" w:bottom="590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5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5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5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5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5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5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5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5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5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4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4"/>
    <w:next w:val="854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5"/>
    <w:link w:val="698"/>
    <w:uiPriority w:val="10"/>
    <w:rPr>
      <w:sz w:val="48"/>
      <w:szCs w:val="48"/>
    </w:rPr>
  </w:style>
  <w:style w:type="paragraph" w:styleId="700">
    <w:name w:val="Subtitle"/>
    <w:basedOn w:val="854"/>
    <w:next w:val="854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5"/>
    <w:link w:val="700"/>
    <w:uiPriority w:val="11"/>
    <w:rPr>
      <w:sz w:val="24"/>
      <w:szCs w:val="24"/>
    </w:rPr>
  </w:style>
  <w:style w:type="paragraph" w:styleId="702">
    <w:name w:val="Quote"/>
    <w:basedOn w:val="854"/>
    <w:next w:val="854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4"/>
    <w:next w:val="854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5"/>
    <w:link w:val="876"/>
    <w:uiPriority w:val="99"/>
  </w:style>
  <w:style w:type="character" w:styleId="707">
    <w:name w:val="Footer Char"/>
    <w:basedOn w:val="855"/>
    <w:link w:val="878"/>
    <w:uiPriority w:val="99"/>
  </w:style>
  <w:style w:type="paragraph" w:styleId="708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78"/>
    <w:uiPriority w:val="99"/>
  </w:style>
  <w:style w:type="table" w:styleId="710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859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860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861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862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863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864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865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66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67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868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869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870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871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872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873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874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75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76">
    <w:name w:val="Header"/>
    <w:basedOn w:val="854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 w:customStyle="1">
    <w:name w:val="Верхний колонтитул Знак"/>
    <w:basedOn w:val="855"/>
    <w:link w:val="876"/>
    <w:uiPriority w:val="99"/>
  </w:style>
  <w:style w:type="paragraph" w:styleId="878">
    <w:name w:val="Footer"/>
    <w:basedOn w:val="854"/>
    <w:link w:val="8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9" w:customStyle="1">
    <w:name w:val="Нижний колонтитул Знак"/>
    <w:basedOn w:val="855"/>
    <w:link w:val="878"/>
    <w:uiPriority w:val="99"/>
  </w:style>
  <w:style w:type="paragraph" w:styleId="880" w:customStyle="1">
    <w:name w:val="Обычный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6" w:customStyle="1">
    <w:name w:val="Основной текст с отступом 2"/>
    <w:basedOn w:val="857"/>
    <w:next w:val="848"/>
    <w:link w:val="850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КонсультантПлюс Версия 4024.00.50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тарифной политики, энергетики и жилищно-коммунального комплекса ЯНАО от 29.11.2024 N 407-т
(ред. от 17.10.2025)
"Об утверждении стандартизированных тарифных ставок и формулы для расчета платы за технологическое присоединение к электрическим сетям территориальных сетевых организаций энергопринимающих устройств заявителей на 2025 год"
(Зарегистрировано в Государственно-правовом департаменте ЯНАО 30.11.2024 N 410)</dc:title>
  <cp:revision>14</cp:revision>
  <dcterms:created xsi:type="dcterms:W3CDTF">2025-11-19T09:14:00Z</dcterms:created>
  <dcterms:modified xsi:type="dcterms:W3CDTF">2025-11-29T11:14:18Z</dcterms:modified>
</cp:coreProperties>
</file>