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6403919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8207" cy="638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white"/>
        </w:rPr>
      </w:r>
      <w:r/>
    </w:p>
    <w:p>
      <w:pPr>
        <w:pStyle w:val="897"/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  <w:highlight w:val="white"/>
        </w:rPr>
        <w:t xml:space="preserve">ДЕПАРТАМЕНТ ТАРИФНОЙ ПОЛИТИКИ, ЭНЕРГЕТИКИ</w:t>
      </w:r>
      <w:r>
        <w:rPr>
          <w:highlight w:val="white"/>
        </w:rPr>
      </w:r>
      <w:r/>
    </w:p>
    <w:p>
      <w:pPr>
        <w:pStyle w:val="897"/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  <w:highlight w:val="white"/>
        </w:rPr>
        <w:t xml:space="preserve">И ЖИЛИЩНО-КОММУНАЛЬНОГО КОМПЛЕКСА </w:t>
      </w:r>
      <w:r>
        <w:rPr>
          <w:highlight w:val="white"/>
        </w:rPr>
      </w:r>
      <w:r/>
    </w:p>
    <w:p>
      <w:pPr>
        <w:pStyle w:val="897"/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  <w:highlight w:val="white"/>
        </w:rPr>
        <w:t xml:space="preserve">ЯМАЛО-НЕНЕЦКОГО АВТОНОМНОГО ОКРУГА</w:t>
      </w:r>
      <w:r>
        <w:rPr>
          <w:highlight w:val="white"/>
        </w:rPr>
      </w:r>
      <w:r/>
    </w:p>
    <w:p>
      <w:pPr>
        <w:pStyle w:val="897"/>
        <w:contextualSpacing/>
        <w:jc w:val="center"/>
        <w:tabs>
          <w:tab w:val="left" w:pos="720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897"/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  <w:highlight w:val="white"/>
        </w:rPr>
        <w:t xml:space="preserve">ПРИКАЗ</w:t>
      </w:r>
      <w:r>
        <w:rPr>
          <w:highlight w:val="white"/>
        </w:rPr>
      </w:r>
      <w:r/>
    </w:p>
    <w:p>
      <w:pPr>
        <w:pStyle w:val="897"/>
        <w:contextualSpacing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897"/>
        <w:ind w:right="21"/>
        <w:tabs>
          <w:tab w:val="left" w:pos="9900" w:leader="none"/>
        </w:tabs>
        <w:rPr>
          <w:highlight w:val="white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  <w:t xml:space="preserve">24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white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white"/>
        </w:rPr>
        <w:t xml:space="preserve">г.                                                                            № 670-т</w:t>
      </w:r>
      <w:r>
        <w:rPr>
          <w:highlight w:val="white"/>
        </w:rPr>
      </w:r>
      <w:r/>
    </w:p>
    <w:p>
      <w:pPr>
        <w:pStyle w:val="898"/>
        <w:ind w:right="228" w:firstLine="0"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color w:val="0000ff"/>
          <w:sz w:val="24"/>
          <w:highlight w:val="white"/>
          <w:lang w:val="ru-RU"/>
        </w:rPr>
        <w:t xml:space="preserve">г. Салехард</w:t>
      </w:r>
      <w:r>
        <w:rPr>
          <w:highlight w:val="white"/>
        </w:rPr>
      </w:r>
      <w:r/>
    </w:p>
    <w:p>
      <w:pPr>
        <w:pStyle w:val="897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szCs w:val="28"/>
          <w:highlight w:val="white"/>
        </w:rPr>
        <w:t xml:space="preserve">Проведена государственная регистрация нормативных правовых актов</w:t>
      </w:r>
      <w:r>
        <w:rPr>
          <w:highlight w:val="white"/>
        </w:rPr>
      </w:r>
      <w:r/>
    </w:p>
    <w:p>
      <w:pPr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szCs w:val="28"/>
          <w:highlight w:val="white"/>
        </w:rPr>
        <w:t xml:space="preserve">Ямало-Ненецкого автономного округа _____________________ 202</w:t>
      </w:r>
      <w:r>
        <w:rPr>
          <w:rFonts w:ascii="Liberation Sans" w:hAnsi="Liberation Sans" w:eastAsia="Liberation Serif" w:cs="Liberation Sans"/>
          <w:szCs w:val="28"/>
          <w:highlight w:val="white"/>
        </w:rPr>
        <w:t xml:space="preserve">4</w:t>
      </w:r>
      <w:r>
        <w:rPr>
          <w:rFonts w:ascii="Liberation Sans" w:hAnsi="Liberation Sans" w:eastAsia="Liberation Serif" w:cs="Liberation Sans"/>
          <w:szCs w:val="28"/>
          <w:highlight w:val="white"/>
        </w:rPr>
        <w:t xml:space="preserve"> </w:t>
      </w:r>
      <w:r>
        <w:rPr>
          <w:rFonts w:ascii="Liberation Sans" w:hAnsi="Liberation Sans" w:eastAsia="Liberation Serif" w:cs="Liberation Sans"/>
          <w:szCs w:val="28"/>
          <w:highlight w:val="white"/>
        </w:rPr>
        <w:t xml:space="preserve">г.</w:t>
      </w:r>
      <w:r>
        <w:rPr>
          <w:highlight w:val="white"/>
        </w:rPr>
      </w:r>
      <w:r/>
    </w:p>
    <w:p>
      <w:pPr>
        <w:contextualSpacing/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erif" w:cs="Liberation Sans"/>
          <w:bCs/>
          <w:szCs w:val="28"/>
          <w:highlight w:val="white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highlight w:val="white"/>
        </w:rPr>
        <w:t xml:space="preserve">__</w:t>
      </w:r>
      <w:r>
        <w:rPr>
          <w:highlight w:val="white"/>
        </w:rPr>
      </w:r>
      <w:r/>
    </w:p>
    <w:p>
      <w:pPr>
        <w:jc w:val="center"/>
        <w:rPr>
          <w:rFonts w:ascii="Liberation Sans" w:hAnsi="Liberation Sans" w:cs="Liberation Sans"/>
          <w:b/>
          <w:bCs/>
          <w:highlight w:val="white"/>
        </w:rPr>
      </w:pPr>
      <w:r>
        <w:rPr>
          <w:rFonts w:ascii="Liberation Sans" w:hAnsi="Liberation Sans" w:cs="Liberation Sans"/>
          <w:b/>
          <w:bCs/>
          <w:highlight w:val="white"/>
        </w:rPr>
      </w:r>
      <w:r>
        <w:rPr>
          <w:highlight w:val="white"/>
        </w:rPr>
      </w:r>
      <w:r/>
    </w:p>
    <w:p>
      <w:pPr>
        <w:pStyle w:val="895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О внесении изменений в некоторые приказы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В целях приведения нормативных правовых актов Ямало-Ненецкого автономного округа в соответствие с действующим законодательством Российской Федерации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п р и к а з ы в а ю: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95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 Утвердить прилагаемые изменения, которые вносятся </w:t>
        <w:br/>
        <w:t xml:space="preserve">в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некоторые приказы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white"/>
        </w:rPr>
        <w:t xml:space="preserve">департамента тарифной политики, энергетики </w:t>
        <w:br/>
        <w:t xml:space="preserve">и жилищно-коммунального комплекса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95"/>
        <w:ind w:firstLine="709"/>
        <w:jc w:val="both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2. Настоящий приказ вступает в силу с 01 января 2025 года.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-142"/>
        <w:rPr>
          <w:highlight w:val="white"/>
        </w:rPr>
      </w:pPr>
      <w:r>
        <w:rPr>
          <w:highlight w:val="white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  <w:highlight w:val="white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тарифной </w:t>
      </w:r>
      <w:r>
        <w:rPr>
          <w:highlight w:val="white"/>
        </w:rPr>
      </w:r>
      <w:r/>
    </w:p>
    <w:p>
      <w:pPr>
        <w:ind w:left="-142"/>
        <w:rPr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политики, энергетики </w:t>
      </w:r>
      <w:r>
        <w:rPr>
          <w:highlight w:val="white"/>
        </w:rPr>
      </w:r>
      <w:r/>
    </w:p>
    <w:p>
      <w:pPr>
        <w:ind w:left="-142"/>
        <w:rPr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и жилищно-коммунального комплекса </w:t>
      </w:r>
      <w:r>
        <w:rPr>
          <w:highlight w:val="white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  <w:highlight w:val="white"/>
        </w:rPr>
        <w:t xml:space="preserve">            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     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Д.Н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. Афанасьев</w:t>
      </w:r>
      <w:r>
        <w:rPr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5102" w:right="0" w:firstLine="0"/>
        <w:rPr>
          <w:rFonts w:ascii="Liberation Sans" w:hAnsi="Liberation Sans" w:eastAsia="Liberation Serif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none"/>
        </w:rPr>
        <w:t xml:space="preserve">УТВЕРЖДЕНЫ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contextualSpacing/>
        <w:ind w:left="5102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/>
    </w:p>
    <w:p>
      <w:pPr>
        <w:contextualSpacing/>
        <w:ind w:left="5102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приказом департамента тарифной </w:t>
      </w:r>
      <w:r>
        <w:rPr>
          <w:sz w:val="28"/>
          <w:szCs w:val="28"/>
        </w:rPr>
      </w:r>
      <w:r/>
    </w:p>
    <w:p>
      <w:pPr>
        <w:contextualSpacing/>
        <w:ind w:left="5102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политики, энергетики и жилищно-коммунального комплекса </w:t>
      </w:r>
      <w:r>
        <w:rPr>
          <w:sz w:val="28"/>
          <w:szCs w:val="28"/>
        </w:rPr>
      </w:r>
      <w:r/>
    </w:p>
    <w:p>
      <w:pPr>
        <w:contextualSpacing/>
        <w:ind w:left="5102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Ямало-Ненецкого автономного округа </w:t>
      </w:r>
      <w:r>
        <w:rPr>
          <w:sz w:val="28"/>
          <w:szCs w:val="28"/>
        </w:rPr>
      </w:r>
      <w:r/>
    </w:p>
    <w:p>
      <w:pPr>
        <w:contextualSpacing/>
        <w:ind w:left="5102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от 24 декабря 202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года № </w:t>
      </w:r>
      <w:r>
        <w:rPr>
          <w:rFonts w:ascii="Liberation Sans" w:hAnsi="Liberation Sans" w:eastAsia="Liberation Serif" w:cs="Liberation Sans"/>
          <w:sz w:val="28"/>
          <w:szCs w:val="28"/>
          <w:highlight w:val="none"/>
        </w:rPr>
        <w:t xml:space="preserve">670-т</w:t>
      </w:r>
      <w:r>
        <w:rPr>
          <w:sz w:val="28"/>
          <w:szCs w:val="28"/>
        </w:rPr>
      </w:r>
      <w:r/>
    </w:p>
    <w:p>
      <w:pPr>
        <w:contextualSpacing/>
        <w:ind w:left="5387" w:firstLine="7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3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contextualSpacing/>
        <w:ind w:firstLine="0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ИЗМЕНЕНИЯ,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0"/>
        <w:jc w:val="center"/>
        <w:rPr>
          <w:rFonts w:ascii="Liberation Sans" w:hAnsi="Liberation Sans" w:eastAsia="Liberation Serif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которые вносятся в некоторые приказы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contextualSpacing/>
        <w:ind w:firstLine="0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yellow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1.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Приложение № 2, утвержденное приказом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департамента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от 29 ноября 2024 года № 407-т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«Об утверждении стандартизированных тарифных ставок и формулы для расчета платы за технологическое присоединение к электрическим сетям территориальных сетевых организаций энергопринимающих устройств заявителей на 2025 год»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дополнить пункто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м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 4-1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 сле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дующего содержания:</w:t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4-1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</w:rPr>
        <w:t xml:space="preserve">В случае подачи заявки в целях увеличения максимальной мощности ранее присоед</w:t>
      </w:r>
      <w:r>
        <w:rPr>
          <w:rFonts w:ascii="Liberation Sans" w:hAnsi="Liberation Sans" w:cs="Liberation Sans"/>
          <w:sz w:val="28"/>
          <w:szCs w:val="28"/>
        </w:rPr>
        <w:t xml:space="preserve">иненных энергопринимающих устройств без изменения категории надежности электроснабжения заявителем,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включительно, плат</w:t>
      </w:r>
      <w:r>
        <w:rPr>
          <w:rFonts w:ascii="Liberation Sans" w:hAnsi="Liberation Sans" w:cs="Liberation Sans"/>
          <w:sz w:val="28"/>
          <w:szCs w:val="28"/>
        </w:rPr>
        <w:t xml:space="preserve">а</w:t>
      </w:r>
      <w:r>
        <w:rPr>
          <w:rFonts w:ascii="Liberation Sans" w:hAnsi="Liberation Sans" w:cs="Liberation Sans"/>
          <w:sz w:val="28"/>
          <w:szCs w:val="28"/>
        </w:rPr>
        <w:t xml:space="preserve"> за технологическое присоединение</w:t>
      </w:r>
      <w:r>
        <w:rPr>
          <w:rFonts w:ascii="Liberation Sans" w:hAnsi="Liberation Sans" w:cs="Liberation Sans"/>
          <w:sz w:val="28"/>
          <w:szCs w:val="28"/>
        </w:rPr>
        <w:t xml:space="preserve"> определяется по формуле: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/>
    </w:p>
    <w:p>
      <w:pPr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Р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  <w:vertAlign w:val="subscript"/>
        </w:rPr>
        <w:t xml:space="preserve">не более 150 кВт</w:t>
      </w:r>
      <w:r>
        <w:rPr>
          <w:rFonts w:ascii="Liberation Sans" w:hAnsi="Liberation Sans" w:cs="Liberation Sans"/>
          <w:sz w:val="28"/>
          <w:szCs w:val="28"/>
        </w:rPr>
        <w:t xml:space="preserve"> = С</w:t>
      </w:r>
      <w:r>
        <w:rPr>
          <w:rFonts w:ascii="Liberation Sans" w:hAnsi="Liberation Sans" w:cs="Liberation Sans"/>
          <w:sz w:val="28"/>
          <w:szCs w:val="28"/>
          <w:vertAlign w:val="subscript"/>
        </w:rPr>
        <w:t xml:space="preserve">1</w:t>
      </w:r>
      <w:r>
        <w:rPr>
          <w:rFonts w:ascii="Liberation Sans" w:hAnsi="Liberation Sans" w:cs="Liberation Sans"/>
          <w:sz w:val="28"/>
          <w:szCs w:val="28"/>
        </w:rPr>
        <w:t xml:space="preserve"> + С</w:t>
      </w:r>
      <w:r>
        <w:rPr>
          <w:rFonts w:ascii="Liberation Sans" w:hAnsi="Liberation Sans" w:cs="Liberation Sans"/>
          <w:sz w:val="28"/>
          <w:szCs w:val="28"/>
          <w:vertAlign w:val="subscript"/>
        </w:rPr>
        <w:t xml:space="preserve">8</w:t>
      </w:r>
      <w:r>
        <w:rPr>
          <w:rFonts w:ascii="Liberation Sans" w:hAnsi="Liberation Sans" w:cs="Liberation Sans"/>
          <w:sz w:val="28"/>
          <w:szCs w:val="28"/>
        </w:rPr>
        <w:t xml:space="preserve">*q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center"/>
        <w:rPr>
          <w:rFonts w:ascii="Liberation Sans" w:hAnsi="Liberation Sans" w:eastAsia="Times New Roman" w:cs="Liberation Sans"/>
          <w:color w:val="000000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2. В п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риказе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департамента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от 29 ноября 2024 года № 408-т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«Об утверждении льготных ставок за 1 кВт запрашиваемой максимальной мощности при технологическом присоединении энергопринимающих устройств заявителей к эл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ектрическим сетям на территории Ямало-Ненецкого автономного округа на 2025 год»: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.1. пункты 2 - 4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изложить в следую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щей редакц</w:t>
      </w:r>
      <w:r>
        <w:rPr>
          <w:rFonts w:ascii="Liberation Sans" w:hAnsi="Liberation Sans" w:cs="Liberation Sans"/>
          <w:sz w:val="28"/>
          <w:szCs w:val="28"/>
        </w:rPr>
        <w:t xml:space="preserve">ии: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«2. Установить льготную ставку за 1 кВт запрашиваемой максимальной мощности при технологическом присоединении объектов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(за исключением случаев подачи заявки заявителем - юридическим лицом или индивидуальным предпринимателем в целях одновременного присоединения энергопринимающих устройств и объектов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), в том числе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 одновременном технологическом присоединении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которые используются для бытовых и иных нужд, не связанных с осуществлением предпринимательской деятельности,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объектов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а также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которые используются для бытовых и иных нужд, не связанных с осуществлением предпринимательской деятельности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за исключением случаев, указанных в </w:t>
      </w:r>
      <w:hyperlink w:tooltip="1. Установить льготную ставку за 1 кВт запрашиваемой максимальной мощности при технологическом присоединении энергопринимающих устройств заявителей к электрическим сетям на территории Ямало-Ненецкого автономного округа (далее - технологическое присоединение эн" w:anchor="Par17" w:history="1">
        <w:r>
          <w:rPr>
            <w:rFonts w:ascii="Liberation Sans" w:hAnsi="Liberation Sans" w:cs="Liberation Sans"/>
            <w:color w:val="0000ff"/>
            <w:sz w:val="28"/>
            <w:szCs w:val="28"/>
            <w:highlight w:val="white"/>
          </w:rPr>
          <w:t xml:space="preserve">пункте 1</w:t>
        </w:r>
      </w:hyperlink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настоящего приказа, устанавливаемая в отношении всей совокупности мероприятий по технологическому присоединению, при присоединении энергопринимающих устройств и (или) объектов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по третьей категории надежности к объектам электросетевого хозяйства сетевой организации на уровне напряжения 0,4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и ниже, при условии, что рас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стояние от границ участка заявителя до ближайшего объекта электрической сети необходимого заявителю класса напряжения, в которую подана заявка, составляет не более 300 метров в городах и поселках городского типа и не более 500 метров в сельской местности (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несоц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руб./кВт) в размере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5 993,85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рублей (с учетом НДС) за каждый кВт запрашиваемой максимальной мощности»;</w:t>
      </w:r>
      <w:r>
        <w:rPr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96"/>
        <w:contextualSpacing/>
        <w:ind w:firstLine="540"/>
        <w:jc w:val="both"/>
        <w:spacing w:before="0" w:beforeAutospacing="0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Плата за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технологическо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присоединени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лиц,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указанны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  <w:br/>
        <w:t xml:space="preserve">в </w:t>
      </w:r>
      <w:hyperlink w:tooltip="1. Установить льготную ставку за 1 кВт запрашиваемой максимальной мощности при технологическом присоединении энергопринимающих устройств заявителей к электрическим сетям на территории Ямало-Ненецкого автономного округа (далее - технологическое присоединение эн" w:anchor="Par17" w:history="1">
        <w:r>
          <w:rPr>
            <w:rFonts w:ascii="Liberation Sans" w:hAnsi="Liberation Sans" w:cs="Liberation Sans"/>
            <w:color w:val="000000" w:themeColor="text1"/>
            <w:sz w:val="28"/>
            <w:szCs w:val="28"/>
            <w:highlight w:val="white"/>
          </w:rPr>
          <w:t xml:space="preserve">пункте 1</w:t>
        </w:r>
      </w:hyperlink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настоящего приказа (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vertAlign w:val="subscript"/>
        </w:rPr>
        <w:t xml:space="preserve">соц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определяется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 соответствии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  <w:br/>
        <w:t xml:space="preserve">с формулой (1):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96"/>
        <w:contextualSpacing/>
        <w:jc w:val="center"/>
        <w:spacing w:before="0" w:beforeAutospacing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jc w:val="center"/>
        <w:spacing w:before="0" w:beforeAutospacing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=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min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{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станд.ст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;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* N} (1),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где: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станд.ст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- стоимость мероприятий по технологическому присоединению, рассчитанная с использованием стандартизированных тарифных ставок по утвержденной регулирующим органом формуле платы за технологическое присоединение, руб.;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198,77 руб./кВт (с учетом НДС);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N - запрашиваемая максимальная мощность присоединяемых устройств, кВт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Плата за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технологическо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присоединени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лиц,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указанных </w:t>
        <w:br/>
        <w:t xml:space="preserve">в пункте 2 настоящего приказа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несоц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определяется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соответствии </w:t>
        <w:br/>
        <w:t xml:space="preserve">с формулой (2):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jc w:val="center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jc w:val="center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несоц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=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min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{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станд.ст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; </w:t>
      </w:r>
      <w:r>
        <w:rPr>
          <w:rFonts w:ascii="Liberation Sans" w:hAnsi="Liberation Sans" w:cs="Liberation Sans"/>
          <w:sz w:val="28"/>
          <w:szCs w:val="28"/>
          <w:highlight w:val="white"/>
          <w:lang w:val="en-US"/>
        </w:rPr>
        <w:t xml:space="preserve">max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{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несоц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* N; С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1.1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+ С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1.2.1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+ С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8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* </w:t>
      </w:r>
      <w:r>
        <w:rPr>
          <w:rFonts w:ascii="Liberation Sans" w:hAnsi="Liberation Sans" w:cs="Liberation Sans"/>
          <w:sz w:val="28"/>
          <w:szCs w:val="28"/>
          <w:highlight w:val="white"/>
          <w:lang w:val="en-US"/>
        </w:rPr>
        <w:t xml:space="preserve">q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}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(2),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где: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станд.ст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- стоимость мероприятий по технологическому присоединению, рассчитанная с использованием стандартизированных тарифных ставок по утвержденной регулирующим органом формуле платы за технологическое присоединение, руб.;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несоц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(руб./кВт)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993,85 руб./кВт (с учетом НДС).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N - запрашиваемая максимальная мощность присоединяемых устройств, кВт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2.2. в абзаце восьмом пункта 5 слова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«(далее – Методические указания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исключить;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2.3.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подпункты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6.4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изложить в следующей редакции:</w:t>
      </w:r>
      <w:r>
        <w:rPr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при технологическом присоединении в границах территории Ямало-Нен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ецкого автономного округа энергопринимающих устройств (объектов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), соответствующих критериям,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указанным </w:t>
        <w:br/>
        <w:t xml:space="preserve">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абзацах 1, 4, 5, 20 и 26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пункта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7 Правил технологического присоединения энергопринимающих устройств потребителей электрической энергии, об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года № 861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(далее -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Правил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присоединения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если лицом, обратившимся с заявкой, лицом, передавшим заявителю права владения объектом капитального строительства (нежилым помещением в нем) </w:t>
        <w:br/>
        <w:t xml:space="preserve">и (или) земельным участком (в том числе их частью), на которых или </w:t>
        <w:br/>
        <w:t xml:space="preserve">в которых расположены (будут располагаться)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энергопринимающие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устройства заявителя),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ранее уже была подана заявка, которая не была аннулирована, или заключен договор в целях технологического присоединения энергопринимающих</w:t>
      </w:r>
      <w:r>
        <w:rPr>
          <w:rFonts w:ascii="Liberation Sans" w:hAnsi="Liberation Sans" w:cs="Liberation Sans"/>
          <w:sz w:val="28"/>
          <w:szCs w:val="28"/>
        </w:rPr>
        <w:t xml:space="preserve"> устройств (объектов </w:t>
      </w:r>
      <w:r>
        <w:rPr>
          <w:rFonts w:ascii="Liberation Sans" w:hAnsi="Liberation Sans" w:cs="Liberation Sans"/>
          <w:sz w:val="28"/>
          <w:szCs w:val="28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</w:rPr>
        <w:t xml:space="preserve">), соответствующих указанным критериям, расположенных (предполагаемых к расположению в соответствии </w:t>
        <w:br/>
        <w:t xml:space="preserve">с поданной заявкой) в границах территории Ямало-Ненецкого автономного округа, при условии, что со дня заключения такого договора не истекло 3 года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yellow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6.4.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при технологическом присоединении энергопринимающих устройств зая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вителей,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соответствующих критериям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указанным в абзацах 1, 4, 5, 20 и 26 пункта 17 Правил присоединения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, если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такие устройства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расположены (буд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ут располагаться) в 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энергопринимающие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устройства, в отношении которых ранее уже была подана заявка, которая не была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аннулирована, или заключен договор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в целях технологического присоединения энергопринимающих устройств, соответствующих критериям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, указанным в абзацах 1, 4, 5, 20 и 26 пункта 17 Правил присоединения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, при условии, что со дня заключения такого договора не истекло 3 года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(положения настоящего абзаца применяются также в случаях, когда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энергопринимающие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устройства расположены (будут распола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гаться) на земельных участках, образованных путем разделения, выделения или перераспределения после подачи заявки и (или) заключения договора в отношении энергопринимающих устройств, расположенных (планируемых к расположению) на исходном земельном участке)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/>
    </w:p>
    <w:sectPr>
      <w:footnotePr/>
      <w:endnotePr/>
      <w:type w:val="nextPage"/>
      <w:pgSz w:w="11906" w:h="16838" w:orient="portrait"/>
      <w:pgMar w:top="1134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 w:default="1">
    <w:name w:val="Normal"/>
    <w:next w:val="883"/>
    <w:link w:val="88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647">
    <w:name w:val="Heading 1"/>
    <w:basedOn w:val="646"/>
    <w:next w:val="646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8">
    <w:name w:val="Heading 2"/>
    <w:basedOn w:val="646"/>
    <w:next w:val="64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9">
    <w:name w:val="Heading 3"/>
    <w:basedOn w:val="646"/>
    <w:next w:val="646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0">
    <w:name w:val="Heading 4"/>
    <w:basedOn w:val="646"/>
    <w:next w:val="64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646"/>
    <w:next w:val="646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2">
    <w:name w:val="Heading 6"/>
    <w:basedOn w:val="646"/>
    <w:next w:val="646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646"/>
    <w:next w:val="646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646"/>
    <w:next w:val="646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646"/>
    <w:next w:val="646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Heading 1 Char"/>
    <w:basedOn w:val="656"/>
    <w:uiPriority w:val="9"/>
    <w:rPr>
      <w:rFonts w:ascii="Arial" w:hAnsi="Arial" w:eastAsia="Arial" w:cs="Arial"/>
      <w:sz w:val="40"/>
      <w:szCs w:val="40"/>
    </w:rPr>
  </w:style>
  <w:style w:type="character" w:styleId="660" w:customStyle="1">
    <w:name w:val="Heading 2 Char"/>
    <w:basedOn w:val="656"/>
    <w:uiPriority w:val="9"/>
    <w:rPr>
      <w:rFonts w:ascii="Arial" w:hAnsi="Arial" w:eastAsia="Arial" w:cs="Arial"/>
      <w:sz w:val="34"/>
    </w:rPr>
  </w:style>
  <w:style w:type="character" w:styleId="661" w:customStyle="1">
    <w:name w:val="Heading 3 Char"/>
    <w:basedOn w:val="656"/>
    <w:uiPriority w:val="9"/>
    <w:rPr>
      <w:rFonts w:ascii="Arial" w:hAnsi="Arial" w:eastAsia="Arial" w:cs="Arial"/>
      <w:sz w:val="30"/>
      <w:szCs w:val="30"/>
    </w:rPr>
  </w:style>
  <w:style w:type="character" w:styleId="662" w:customStyle="1">
    <w:name w:val="Heading 4 Char"/>
    <w:basedOn w:val="656"/>
    <w:uiPriority w:val="9"/>
    <w:rPr>
      <w:rFonts w:ascii="Arial" w:hAnsi="Arial" w:eastAsia="Arial" w:cs="Arial"/>
      <w:b/>
      <w:bCs/>
      <w:sz w:val="26"/>
      <w:szCs w:val="26"/>
    </w:rPr>
  </w:style>
  <w:style w:type="character" w:styleId="663" w:customStyle="1">
    <w:name w:val="Heading 5 Char"/>
    <w:basedOn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4" w:customStyle="1">
    <w:name w:val="Heading 6 Char"/>
    <w:basedOn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65" w:customStyle="1">
    <w:name w:val="Heading 7 Char"/>
    <w:basedOn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6" w:customStyle="1">
    <w:name w:val="Heading 8 Char"/>
    <w:basedOn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9 Char"/>
    <w:basedOn w:val="656"/>
    <w:uiPriority w:val="9"/>
    <w:rPr>
      <w:rFonts w:ascii="Arial" w:hAnsi="Arial" w:eastAsia="Arial" w:cs="Arial"/>
      <w:i/>
      <w:iCs/>
      <w:sz w:val="21"/>
      <w:szCs w:val="21"/>
    </w:rPr>
  </w:style>
  <w:style w:type="character" w:styleId="668" w:customStyle="1">
    <w:name w:val="Header Char"/>
    <w:basedOn w:val="656"/>
    <w:uiPriority w:val="99"/>
  </w:style>
  <w:style w:type="character" w:styleId="669" w:customStyle="1">
    <w:name w:val="Caption Char"/>
    <w:uiPriority w:val="99"/>
  </w:style>
  <w:style w:type="paragraph" w:styleId="670">
    <w:name w:val="Header"/>
    <w:basedOn w:val="646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1">
    <w:name w:val="Footer"/>
    <w:basedOn w:val="646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2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3">
    <w:name w:val="Plain Table 1"/>
    <w:basedOn w:val="6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6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6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6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6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6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6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"/>
    <w:basedOn w:val="6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4"/>
    <w:basedOn w:val="6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>
    <w:name w:val="Grid Table 5 Dark"/>
    <w:basedOn w:val="6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3">
    <w:name w:val="Grid Table 6 Colorful"/>
    <w:basedOn w:val="6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4">
    <w:name w:val="Grid Table 7 Colorful"/>
    <w:basedOn w:val="6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List Table 1 Light"/>
    <w:basedOn w:val="6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List Table 2"/>
    <w:basedOn w:val="6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87">
    <w:name w:val="List Table 3"/>
    <w:basedOn w:val="6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List Table 4"/>
    <w:basedOn w:val="6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List Table 5 Dark"/>
    <w:basedOn w:val="6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0">
    <w:name w:val="List Table 6 Colorful"/>
    <w:basedOn w:val="6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1">
    <w:name w:val="List Table 7 Colorful"/>
    <w:basedOn w:val="6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92" w:customStyle="1">
    <w:name w:val="Заголовок 1 Знак1"/>
    <w:basedOn w:val="656"/>
    <w:link w:val="647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1"/>
    <w:basedOn w:val="656"/>
    <w:link w:val="648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1"/>
    <w:basedOn w:val="656"/>
    <w:link w:val="649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1"/>
    <w:basedOn w:val="656"/>
    <w:link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1"/>
    <w:basedOn w:val="656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1"/>
    <w:basedOn w:val="656"/>
    <w:link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1"/>
    <w:basedOn w:val="656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1"/>
    <w:basedOn w:val="656"/>
    <w:link w:val="654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1"/>
    <w:basedOn w:val="656"/>
    <w:link w:val="655"/>
    <w:uiPriority w:val="9"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basedOn w:val="656"/>
    <w:uiPriority w:val="10"/>
    <w:rPr>
      <w:sz w:val="48"/>
      <w:szCs w:val="48"/>
    </w:rPr>
  </w:style>
  <w:style w:type="character" w:styleId="702" w:customStyle="1">
    <w:name w:val="Subtitle Char"/>
    <w:basedOn w:val="656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Верхний колонтитул Знак1"/>
    <w:basedOn w:val="656"/>
    <w:link w:val="670"/>
    <w:uiPriority w:val="99"/>
  </w:style>
  <w:style w:type="character" w:styleId="706" w:customStyle="1">
    <w:name w:val="Нижний колонтитул Знак1"/>
    <w:link w:val="671"/>
    <w:uiPriority w:val="99"/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paragraph" w:styleId="709" w:customStyle="1">
    <w:name w:val="Заголовок 11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0" w:customStyle="1">
    <w:name w:val="Заголовок 21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1" w:customStyle="1">
    <w:name w:val="Заголовок 31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 w:customStyle="1">
    <w:name w:val="Заголовок 41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 w:customStyle="1">
    <w:name w:val="Заголовок 5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 w:customStyle="1">
    <w:name w:val="Заголовок 61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 w:customStyle="1">
    <w:name w:val="Заголовок 71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 w:customStyle="1">
    <w:name w:val="Заголовок 81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 w:customStyle="1">
    <w:name w:val="Заголовок 91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Заголовок Знак"/>
    <w:link w:val="729"/>
    <w:uiPriority w:val="10"/>
    <w:rPr>
      <w:sz w:val="48"/>
      <w:szCs w:val="48"/>
    </w:rPr>
  </w:style>
  <w:style w:type="paragraph" w:styleId="731">
    <w:name w:val="Subtitle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 w:customStyle="1">
    <w:name w:val="Верхний колонтитул1"/>
    <w:link w:val="73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link w:val="737"/>
    <w:uiPriority w:val="99"/>
  </w:style>
  <w:style w:type="paragraph" w:styleId="739" w:customStyle="1">
    <w:name w:val="Нижний колонтитул1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uiPriority w:val="99"/>
  </w:style>
  <w:style w:type="paragraph" w:styleId="741" w:customStyle="1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>
    <w:name w:val="Table Grid"/>
    <w:basedOn w:val="657"/>
    <w:uiPriority w:val="39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uiPriority w:val="39"/>
    <w:unhideWhenUsed/>
    <w:pPr>
      <w:spacing w:after="57"/>
    </w:pPr>
  </w:style>
  <w:style w:type="paragraph" w:styleId="877">
    <w:name w:val="toc 2"/>
    <w:uiPriority w:val="39"/>
    <w:unhideWhenUsed/>
    <w:pPr>
      <w:ind w:left="283"/>
      <w:spacing w:after="57"/>
    </w:pPr>
  </w:style>
  <w:style w:type="paragraph" w:styleId="878">
    <w:name w:val="toc 3"/>
    <w:uiPriority w:val="39"/>
    <w:unhideWhenUsed/>
    <w:pPr>
      <w:ind w:left="567"/>
      <w:spacing w:after="57"/>
    </w:pPr>
  </w:style>
  <w:style w:type="paragraph" w:styleId="879">
    <w:name w:val="toc 4"/>
    <w:uiPriority w:val="39"/>
    <w:unhideWhenUsed/>
    <w:pPr>
      <w:ind w:left="850"/>
      <w:spacing w:after="57"/>
    </w:pPr>
  </w:style>
  <w:style w:type="paragraph" w:styleId="880">
    <w:name w:val="toc 5"/>
    <w:uiPriority w:val="39"/>
    <w:unhideWhenUsed/>
    <w:pPr>
      <w:ind w:left="1134"/>
      <w:spacing w:after="57"/>
    </w:pPr>
  </w:style>
  <w:style w:type="paragraph" w:styleId="881">
    <w:name w:val="toc 6"/>
    <w:uiPriority w:val="39"/>
    <w:unhideWhenUsed/>
    <w:pPr>
      <w:ind w:left="1417"/>
      <w:spacing w:after="57"/>
    </w:pPr>
  </w:style>
  <w:style w:type="paragraph" w:styleId="882">
    <w:name w:val="toc 7"/>
    <w:uiPriority w:val="39"/>
    <w:unhideWhenUsed/>
    <w:pPr>
      <w:ind w:left="1701"/>
      <w:spacing w:after="57"/>
    </w:pPr>
  </w:style>
  <w:style w:type="paragraph" w:styleId="883">
    <w:name w:val="toc 8"/>
    <w:uiPriority w:val="39"/>
    <w:unhideWhenUsed/>
    <w:pPr>
      <w:ind w:left="1984"/>
      <w:spacing w:after="57"/>
    </w:pPr>
  </w:style>
  <w:style w:type="paragraph" w:styleId="884">
    <w:name w:val="toc 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uiPriority w:val="99"/>
    <w:unhideWhenUsed/>
  </w:style>
  <w:style w:type="paragraph" w:styleId="887" w:customStyle="1">
    <w:name w:val="Знак Знак Знак Знак"/>
    <w:basedOn w:val="6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88" w:customStyle="1">
    <w:name w:val="ConsPlusNormal"/>
    <w:pPr>
      <w:ind w:firstLine="720"/>
    </w:pPr>
    <w:rPr>
      <w:rFonts w:ascii="Arial" w:hAnsi="Arial"/>
      <w:lang w:eastAsia="ru-RU"/>
    </w:rPr>
  </w:style>
  <w:style w:type="paragraph" w:styleId="889" w:customStyle="1">
    <w:name w:val="ConsPlusCell"/>
    <w:pPr>
      <w:widowControl w:val="off"/>
    </w:pPr>
    <w:rPr>
      <w:rFonts w:ascii="Arial" w:hAnsi="Arial"/>
      <w:lang w:eastAsia="ru-RU"/>
    </w:rPr>
  </w:style>
  <w:style w:type="paragraph" w:styleId="890">
    <w:name w:val="Body Text Indent 2"/>
    <w:basedOn w:val="646"/>
    <w:link w:val="892"/>
    <w:pPr>
      <w:ind w:firstLine="720"/>
      <w:jc w:val="both"/>
    </w:pPr>
    <w:rPr>
      <w:sz w:val="28"/>
    </w:rPr>
  </w:style>
  <w:style w:type="paragraph" w:styleId="891" w:customStyle="1">
    <w:name w:val="ConsPlusNonformat"/>
    <w:rPr>
      <w:rFonts w:ascii="Courier New" w:hAnsi="Courier New"/>
      <w:lang w:eastAsia="ru-RU"/>
    </w:rPr>
  </w:style>
  <w:style w:type="character" w:styleId="892" w:customStyle="1">
    <w:name w:val="Основной текст с отступом 2 Знак"/>
    <w:link w:val="890"/>
    <w:rPr>
      <w:sz w:val="28"/>
      <w:szCs w:val="24"/>
    </w:rPr>
  </w:style>
  <w:style w:type="paragraph" w:styleId="893">
    <w:name w:val="Balloon Text"/>
    <w:basedOn w:val="646"/>
    <w:link w:val="894"/>
    <w:rPr>
      <w:rFonts w:ascii="Tahoma" w:hAnsi="Tahoma"/>
      <w:sz w:val="16"/>
      <w:szCs w:val="16"/>
    </w:rPr>
  </w:style>
  <w:style w:type="character" w:styleId="894" w:customStyle="1">
    <w:name w:val="Текст выноски Знак"/>
    <w:link w:val="893"/>
    <w:rPr>
      <w:rFonts w:ascii="Tahoma" w:hAnsi="Tahoma"/>
      <w:sz w:val="16"/>
      <w:szCs w:val="16"/>
    </w:rPr>
  </w:style>
  <w:style w:type="paragraph" w:styleId="895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/>
      <w:b/>
      <w:sz w:val="22"/>
      <w:lang w:eastAsia="ru-RU"/>
    </w:rPr>
  </w:style>
  <w:style w:type="paragraph" w:styleId="89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  <w:style w:type="paragraph" w:styleId="897" w:customStyle="1">
    <w:name w:val="Обычный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898" w:customStyle="1">
    <w:name w:val="Основной текст с отступом 21"/>
    <w:pPr>
      <w:ind w:firstLine="72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  <w:lang w:val="en-US" w:eastAsia="en-US"/>
    </w:rPr>
  </w:style>
  <w:style w:type="paragraph" w:styleId="899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Катошин</dc:creator>
  <cp:revision>19</cp:revision>
  <dcterms:created xsi:type="dcterms:W3CDTF">2022-11-22T10:47:00Z</dcterms:created>
  <dcterms:modified xsi:type="dcterms:W3CDTF">2024-12-25T03:48:02Z</dcterms:modified>
</cp:coreProperties>
</file>