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403919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8207" cy="638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  <w:highlight w:val="white"/>
        </w:rPr>
        <w:t xml:space="preserve">ДЕПАРТАМЕНТ ТАРИФНОЙ ПОЛИТИКИ, ЭНЕРГЕТИКИ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  <w:highlight w:val="white"/>
        </w:rPr>
        <w:t xml:space="preserve">И ЖИЛИЩНО-КОММУНАЛЬНОГО КОМПЛЕКСА 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  <w:highlight w:val="white"/>
        </w:rPr>
        <w:t xml:space="preserve">ЯМАЛО-НЕНЕЦКОГО АВТОНОМНОГО ОКРУГА</w:t>
      </w:r>
      <w:r>
        <w:rPr>
          <w:highlight w:val="white"/>
        </w:rPr>
      </w:r>
      <w:r/>
    </w:p>
    <w:p>
      <w:pPr>
        <w:pStyle w:val="897"/>
        <w:contextualSpacing/>
        <w:jc w:val="center"/>
        <w:tabs>
          <w:tab w:val="left" w:pos="720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  <w:highlight w:val="white"/>
        </w:rPr>
        <w:t xml:space="preserve">ПРИКАЗ</w:t>
      </w:r>
      <w:r>
        <w:rPr>
          <w:highlight w:val="white"/>
        </w:rPr>
      </w:r>
      <w:r/>
    </w:p>
    <w:p>
      <w:pPr>
        <w:pStyle w:val="897"/>
        <w:contextualSpacing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97"/>
        <w:ind w:right="21"/>
        <w:tabs>
          <w:tab w:val="left" w:pos="9900" w:leader="none"/>
        </w:tabs>
        <w:rPr>
          <w:highlight w:val="white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none"/>
        </w:rPr>
        <w:t xml:space="preserve">24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color w:val="0000ff"/>
          <w:sz w:val="28"/>
          <w:szCs w:val="28"/>
          <w:highlight w:val="white"/>
        </w:rPr>
        <w:t xml:space="preserve">г.                                                                              № 669-т</w:t>
      </w:r>
      <w:r>
        <w:rPr>
          <w:highlight w:val="white"/>
        </w:rPr>
      </w:r>
      <w:r/>
    </w:p>
    <w:p>
      <w:pPr>
        <w:pStyle w:val="898"/>
        <w:ind w:right="228" w:firstLine="0"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color w:val="0000ff"/>
          <w:sz w:val="24"/>
          <w:highlight w:val="white"/>
          <w:lang w:val="ru-RU"/>
        </w:rPr>
        <w:t xml:space="preserve">г. Салехард</w:t>
      </w:r>
      <w:r>
        <w:rPr>
          <w:highlight w:val="white"/>
        </w:rPr>
      </w:r>
      <w:r/>
    </w:p>
    <w:p>
      <w:pPr>
        <w:pStyle w:val="897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zCs w:val="28"/>
          <w:highlight w:val="white"/>
        </w:rPr>
        <w:t xml:space="preserve">Проведена государственная регистрация нормативных правовых актов</w:t>
      </w:r>
      <w:r>
        <w:rPr>
          <w:highlight w:val="white"/>
        </w:rPr>
      </w:r>
      <w:r/>
    </w:p>
    <w:p>
      <w:pPr>
        <w:contextualSpacing/>
        <w:jc w:val="center"/>
        <w:rPr>
          <w:highlight w:val="white"/>
        </w:rPr>
      </w:pPr>
      <w:r>
        <w:rPr>
          <w:rFonts w:ascii="Liberation Sans" w:hAnsi="Liberation Sans" w:eastAsia="Liberation Serif" w:cs="Liberation Sans"/>
          <w:szCs w:val="28"/>
          <w:highlight w:val="white"/>
        </w:rPr>
        <w:t xml:space="preserve">Ямало-Ненецкого автономного округа _____________________ 202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szCs w:val="28"/>
          <w:highlight w:val="white"/>
        </w:rPr>
        <w:t xml:space="preserve">г.</w:t>
      </w:r>
      <w:r>
        <w:rPr>
          <w:highlight w:val="white"/>
        </w:rPr>
      </w:r>
      <w:r/>
    </w:p>
    <w:p>
      <w:pPr>
        <w:contextualSpacing/>
        <w:jc w:val="center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erif" w:cs="Liberation Sans"/>
          <w:bCs/>
          <w:szCs w:val="28"/>
          <w:highlight w:val="white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highlight w:val="white"/>
        </w:rPr>
        <w:t xml:space="preserve">__</w:t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b/>
          <w:bCs/>
          <w:highlight w:val="white"/>
        </w:rPr>
      </w:pPr>
      <w:r>
        <w:rPr>
          <w:rFonts w:ascii="Liberation Sans" w:hAnsi="Liberation Sans" w:cs="Liberation Sans"/>
          <w:b/>
          <w:bCs/>
          <w:highlight w:val="white"/>
        </w:rPr>
      </w:r>
      <w:r>
        <w:rPr>
          <w:highlight w:val="white"/>
        </w:rPr>
      </w:r>
      <w:r/>
    </w:p>
    <w:p>
      <w:pPr>
        <w:pStyle w:val="895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О внесении изменений в некоторые приказы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В целях приведения нормативных правовых актов Ямало-Ненецкого автономного округа в соответствие с действующим законодательством Российской Федерации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  <w:highlight w:val="white"/>
        </w:rPr>
        <w:t xml:space="preserve">п р и к а з ы в а 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88"/>
        <w:contextualSpacing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5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Утвердить прилагаемые изменения, которые вносятся 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некоторые приказы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white"/>
        </w:rPr>
        <w:t xml:space="preserve">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  <w:highlight w:val="white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тарифной </w:t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политики, энергетики </w:t>
      </w:r>
      <w:r>
        <w:rPr>
          <w:highlight w:val="white"/>
        </w:rPr>
      </w:r>
      <w:r/>
    </w:p>
    <w:p>
      <w:pPr>
        <w:ind w:left="-142"/>
        <w:rPr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и жилищно-коммунального комплекса </w:t>
      </w:r>
      <w:r>
        <w:rPr>
          <w:highlight w:val="white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  <w:highlight w:val="white"/>
        </w:rPr>
        <w:t xml:space="preserve">            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      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Д.Н</w:t>
      </w:r>
      <w:r>
        <w:rPr>
          <w:rFonts w:ascii="Liberation Sans" w:hAnsi="Liberation Sans" w:eastAsia="Liberation Serif" w:cs="Liberation Sans"/>
          <w:bCs/>
          <w:sz w:val="28"/>
          <w:szCs w:val="28"/>
          <w:highlight w:val="white"/>
        </w:rPr>
        <w:t xml:space="preserve">. Афанасьев</w:t>
      </w:r>
      <w:r>
        <w:rPr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0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  <w:r/>
    </w:p>
    <w:p>
      <w:pPr>
        <w:contextualSpacing/>
        <w:ind w:left="5102" w:right="0" w:firstLine="0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/>
    </w:p>
    <w:p>
      <w:pPr>
        <w:contextualSpacing/>
        <w:ind w:left="5102" w:right="0" w:firstLine="0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/>
    </w:p>
    <w:p>
      <w:pPr>
        <w:contextualSpacing/>
        <w:ind w:left="5102" w:right="0" w:firstLine="0"/>
        <w:rPr>
          <w:rFonts w:ascii="Liberation Sans" w:hAnsi="Liberation Sans" w:eastAsia="Liberation Serif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  <w:t xml:space="preserve">УТВЕРЖДЕНЫ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приказом департамента тарифной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политики, энергетики и жилищно-коммунального комплекса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 </w:t>
      </w:r>
      <w:r>
        <w:rPr>
          <w:sz w:val="28"/>
          <w:szCs w:val="28"/>
        </w:rPr>
      </w:r>
      <w:r/>
    </w:p>
    <w:p>
      <w:pPr>
        <w:contextualSpacing/>
        <w:ind w:left="5102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от 24 декабря 202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года № </w:t>
      </w:r>
      <w:r>
        <w:rPr>
          <w:rFonts w:ascii="Liberation Sans" w:hAnsi="Liberation Sans" w:eastAsia="Liberation Serif" w:cs="Liberation Sans"/>
          <w:sz w:val="28"/>
          <w:szCs w:val="28"/>
          <w:highlight w:val="none"/>
        </w:rPr>
        <w:t xml:space="preserve">669-т</w:t>
      </w:r>
      <w:r/>
    </w:p>
    <w:p>
      <w:pPr>
        <w:contextualSpacing/>
        <w:ind w:left="5387" w:firstLine="7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3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/>
        <w:ind w:firstLine="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ИЗМЕНЕНИЯ,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0"/>
        <w:jc w:val="center"/>
        <w:rPr>
          <w:rFonts w:ascii="Liberation Sans" w:hAnsi="Liberation Sans" w:eastAsia="Liberation Serif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которые вносятся в некоторые приказы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contextualSpacing/>
        <w:ind w:firstLine="0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 Приложение № 2, утвержденное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приказом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от 19 декабря 2023 года № 636-т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«Об утвержде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нии стандартизированных тарифных ставок и формулы для расчета платы за технологическое присоединение к электрическим сетям территориальных сетевых организаций энергопринимающих устройств заявителей на 2024 год» дополнить пунктом 4-1 следующего содержания: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4-1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подачи заявки в целях увеличения максимальной мощности ранее присоед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иненных энергопринимающих устройств без изменения категории надежности электроснабжения заявителем,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включительно, плат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 технологическое присоединение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определяется по формуле:</w:t>
      </w:r>
      <w:r>
        <w:rPr>
          <w:highlight w:val="white"/>
        </w:rPr>
      </w:r>
      <w:r/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 более 150 кВт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=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+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*q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yellow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yellow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2.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В п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риказе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департамента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тарифной политики, энергетики </w:t>
        <w:br/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от 19 декабря 2023 года № 637-т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«Об утверждении льготных ставок за 1 кВт запрашиваемой максимальной мощности при технологическом присоединении энергопринимающих устройств заявителей </w:t>
        <w:br/>
        <w:t xml:space="preserve">к электрическим сетям на территории Ямало-Ненецкого автономного округа на 2024 год»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:</w:t>
      </w:r>
      <w:r>
        <w:rPr>
          <w:rFonts w:ascii="Liberation Sans" w:hAnsi="Liberation Sans" w:eastAsia="Times New Roman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t xml:space="preserve">2.1. пункты 2 - 4 </w:t>
      </w:r>
      <w:r>
        <w:rPr>
          <w:rFonts w:ascii="Liberation Sans" w:hAnsi="Liberation Sans" w:cs="Liberation Sans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</w:rPr>
        <w:t xml:space="preserve">«2. </w:t>
      </w:r>
      <w:r>
        <w:rPr>
          <w:rFonts w:ascii="Liberation Sans" w:hAnsi="Liberation Sans" w:cs="Liberation Sans"/>
          <w:sz w:val="28"/>
          <w:szCs w:val="28"/>
        </w:rPr>
        <w:t xml:space="preserve">Установить льготную ставку за 1 кВт запрашиваемой максимальной мощности при технологическом присоединении объектов </w:t>
      </w:r>
      <w:r>
        <w:rPr>
          <w:rFonts w:ascii="Liberation Sans" w:hAnsi="Liberation Sans" w:cs="Liberation Sans"/>
          <w:sz w:val="28"/>
          <w:szCs w:val="28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</w:rPr>
        <w:t xml:space="preserve"> (за исключением случаев подачи заявки заявителем - юридическим лицом или индивидуальным предпринимателем в целях одновременного присоединения энергопринимающих устройств и объектов </w:t>
      </w:r>
      <w:r>
        <w:rPr>
          <w:rFonts w:ascii="Liberation Sans" w:hAnsi="Liberation Sans" w:cs="Liberation Sans"/>
          <w:sz w:val="28"/>
          <w:szCs w:val="28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</w:rPr>
        <w:t xml:space="preserve">), в том числе </w:t>
      </w:r>
      <w:r>
        <w:rPr>
          <w:rFonts w:ascii="Liberation Sans" w:hAnsi="Liberation Sans" w:cs="Liberation Sans"/>
          <w:sz w:val="28"/>
          <w:szCs w:val="28"/>
        </w:rPr>
        <w:t xml:space="preserve">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(с учетом ранее присоединенных в данной точке присоединения энергопринимающих устройств)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которые используются для бытовых и иных нужд, не связанных с осуществлением предпринимательской деятельности,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а также энергопринимающих устройств заявителей - </w:t>
      </w:r>
      <w:r>
        <w:rPr>
          <w:rFonts w:ascii="Liberation Sans" w:hAnsi="Liberation Sans" w:cs="Liberation Sans"/>
          <w:sz w:val="28"/>
          <w:szCs w:val="28"/>
        </w:rPr>
        <w:t xml:space="preserve">физических лиц, максимальная мощность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которых не превышает 15 кВт включительно (с учетом ранее присоединенных в данной точке присоединения энергопринимающих устройств),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которые используются для бытовых и иных нужд, не связанных с осуществлением предпринимательской деятельности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за исключением случаев, указанных в </w:t>
      </w:r>
      <w:hyperlink w:tooltip="1. Установить льготную ставку за 1 кВт запрашиваемой максимальной мощности при технологическом присоединении энергопринимающих устройств заявителей к электрическим сетям на территории Ямало-Ненецкого автономного округа (далее - технологическое присоединение эн" w:anchor="Par17" w:history="1">
        <w:r>
          <w:rPr>
            <w:rFonts w:ascii="Liberation Sans" w:hAnsi="Liberation Sans" w:cs="Liberation Sans"/>
            <w:color w:val="0000ff"/>
            <w:sz w:val="28"/>
            <w:szCs w:val="28"/>
            <w:highlight w:val="white"/>
          </w:rPr>
          <w:t xml:space="preserve">пункте 1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настоящего приказа, устанавливаемая в отношении всей совокупности мероприятий по те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хнологическому присоединению, при присоединении энергопринимающих устройств и (или) 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 третьей категории надежности к объектам электросетевого хозяйства сетевой организации на уровне напряжения 0,4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 ниже, при условии, что рас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стояние от границ участка заяви</w:t>
      </w:r>
      <w:r>
        <w:rPr>
          <w:rFonts w:ascii="Liberation Sans" w:hAnsi="Liberation Sans" w:cs="Liberation Sans"/>
          <w:sz w:val="28"/>
          <w:szCs w:val="28"/>
        </w:rPr>
        <w:t xml:space="preserve">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 (</w:t>
      </w:r>
      <w:r>
        <w:rPr>
          <w:rFonts w:ascii="Liberation Sans" w:hAnsi="Liberation Sans" w:cs="Liberation Sans"/>
          <w:sz w:val="28"/>
          <w:szCs w:val="28"/>
        </w:rPr>
        <w:t xml:space="preserve">Р</w:t>
      </w:r>
      <w:r>
        <w:rPr>
          <w:rFonts w:ascii="Liberation Sans" w:hAnsi="Liberation Sans" w:cs="Liberation Sans"/>
          <w:sz w:val="28"/>
          <w:szCs w:val="28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</w:rPr>
        <w:t xml:space="preserve">, руб./кВт) в размере: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с 01 января 2024 года по 30 июня 2024 года - 4 456,27 рублей </w:t>
        <w:br/>
        <w:t xml:space="preserve">(с учетом НДС) за каждый кВт запрашиваемой максимальной мощности;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с 01 июля 2024 по 31 декабря 2024 года - 5 570,34 рублей (с учетом НДС) за каждый кВт запрашиваемой максимальной мощности (включительно).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08"/>
        <w:jc w:val="both"/>
        <w:spacing w:before="0" w:after="0" w:line="240" w:lineRule="auto"/>
        <w:rPr>
          <w:rFonts w:ascii="Liberation Sans" w:hAnsi="Liberation Sans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contextualSpacing/>
        <w:ind w:left="0" w:right="0" w:firstLine="708"/>
        <w:jc w:val="both"/>
        <w:spacing w:before="0" w:beforeAutospacing="0" w:after="0" w:line="240" w:lineRule="auto"/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3.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Плата за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технологическо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е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присоединени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е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лиц,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указанны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</w:t>
        <w:br/>
        <w:t xml:space="preserve">в </w:t>
      </w:r>
      <w:hyperlink w:tooltip="1. Установить льготную ставку за 1 кВт запрашиваемой максимальной мощности при технологическом присоединении энергопринимающих устройств заявителей к электрическим сетям на территории Ямало-Ненецкого автономного округа (далее - технологическое присоединение эн" w:anchor="Par17" w:history="1">
        <w:r>
          <w:rPr>
            <w:rFonts w:ascii="Liberation Sans" w:hAnsi="Liberation Sans" w:cs="Liberation Sans"/>
            <w:strike w:val="0"/>
            <w:color w:val="000000" w:themeColor="text1"/>
            <w:sz w:val="28"/>
            <w:szCs w:val="28"/>
            <w:highlight w:val="white"/>
          </w:rPr>
          <w:t xml:space="preserve">пункте 1</w:t>
        </w:r>
      </w:hyperlink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настоящего приказа (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  <w:vertAlign w:val="subscript"/>
        </w:rPr>
        <w:t xml:space="preserve">соц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определяется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 в соответствии </w:t>
        <w:br/>
        <w:t xml:space="preserve">с формулой (1):</w:t>
      </w: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</w:r>
      <w:r/>
    </w:p>
    <w:p>
      <w:pPr>
        <w:contextualSpacing/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соц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= min {Р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станд.ст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; 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соц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* N} (1),</w:t>
        <w:br/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где: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станд.ст.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- стоимость мероприятий 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соц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- 1 114,07 руб./кВт (с учетом НДС);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N - запрашиваемая максимальная мощность присоединяемых устройств, кВт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0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trike w:val="0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Плата за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технологическо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присоединени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лиц,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указанных в пункте 2 настоящего приказа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определяется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формулой (2):</w:t>
      </w:r>
      <w:r>
        <w:rPr>
          <w:highlight w:val="white"/>
        </w:rPr>
      </w:r>
      <w:r/>
    </w:p>
    <w:p>
      <w:pPr>
        <w:pStyle w:val="896"/>
        <w:contextualSpacing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96"/>
        <w:contextualSpacing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=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min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{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станд.ст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 </w:t>
      </w:r>
      <w:r>
        <w:rPr>
          <w:rFonts w:ascii="Liberation Sans" w:hAnsi="Liberation Sans" w:cs="Liberation Sans"/>
          <w:sz w:val="28"/>
          <w:szCs w:val="28"/>
          <w:highlight w:val="white"/>
          <w:lang w:val="en-US"/>
        </w:rPr>
        <w:t xml:space="preserve">max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{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несоц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* N;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1.1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+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1.2.1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+ С</w:t>
      </w:r>
      <w:r>
        <w:rPr>
          <w:rFonts w:ascii="Liberation Sans" w:hAnsi="Liberation Sans" w:cs="Liberation Sans"/>
          <w:sz w:val="28"/>
          <w:szCs w:val="28"/>
          <w:highlight w:val="white"/>
          <w:vertAlign w:val="subscript"/>
        </w:rPr>
        <w:t xml:space="preserve">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* </w:t>
      </w:r>
      <w:r>
        <w:rPr>
          <w:rFonts w:ascii="Liberation Sans" w:hAnsi="Liberation Sans" w:cs="Liberation Sans"/>
          <w:sz w:val="28"/>
          <w:szCs w:val="28"/>
          <w:highlight w:val="white"/>
          <w:lang w:val="en-US"/>
        </w:rPr>
        <w:t xml:space="preserve">q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}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(2),</w:t>
      </w:r>
      <w:r>
        <w:rPr>
          <w:highlight w:val="white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где:</w:t>
      </w:r>
      <w:r>
        <w:rPr>
          <w:highlight w:val="white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  <w:vertAlign w:val="subscript"/>
        </w:rPr>
        <w:t xml:space="preserve">станд.ст.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white"/>
        </w:rPr>
        <w:t xml:space="preserve"> - стоимость мероприятий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по технологическому присоединению, рассчитанная с использованием стандартизированных тарифных ставок по утвержденной регулирующим органом формуле платы за технологическое присоединение, руб.;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Р</w:t>
      </w:r>
      <w:r>
        <w:rPr>
          <w:rFonts w:ascii="Liberation Sans" w:hAnsi="Liberation Sans" w:eastAsia="Times New Roman" w:cs="Liberation Sans"/>
          <w:color w:val="000000"/>
          <w:sz w:val="28"/>
          <w:szCs w:val="28"/>
          <w:vertAlign w:val="subscript"/>
        </w:rPr>
        <w:t xml:space="preserve">несоц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(руб./кВт) в размере: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с 01 января 2024 года по 30 июня 2024 года - 4 456,27 рублей </w:t>
        <w:br/>
        <w:t xml:space="preserve">(с учетом НДС) за каждый кВт запрашиваемой максимальной мощности;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- с 01 июля 2024 года по 31 декабря 2024 года - 5 570,34 рублей </w:t>
        <w:br/>
        <w:t xml:space="preserve">(с учетом НДС) за каждый кВт запрашиваемой максимальной мощности (включительно).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N - запрашиваемая максимальная мощность присоединяемых устройств, кВт»;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</w:pPr>
      <w:r/>
      <w:r/>
    </w:p>
    <w:p>
      <w:pPr>
        <w:pStyle w:val="896"/>
        <w:contextualSpacing/>
        <w:ind w:firstLine="540"/>
        <w:jc w:val="both"/>
        <w:spacing w:before="0" w:beforeAutospacing="0" w:line="240" w:lineRule="auto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2.2.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 абзаце восьмом пункта 5 слова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«(далее – Методические указания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исключить;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2.3.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подпункты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в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</w:rPr>
        <w:t xml:space="preserve">г»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в) при технологическом присоединении в границах территории Ямало-Ненецкого автономного округа энергопринимающих устройств (объектов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), соответствующих критериям,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указанным 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абзацах 1, 4, 5, 20 и 26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пункта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 Правил технологического присоединения энергопринимающих устройств потребителей электрической энергии, об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№ 861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-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Правил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присоединения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если лицом, обратившимся с заявкой, лицом, передавшим заявителю права владения объектом капитального строительства (нежилым помещением в нем) и (или) земельным участком (в том числе их частью), на которых или в которых расположены (будут располагаться)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устройства заявителя),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ранее уже была подана заявка, которая не была аннулирована, или заключен договор в целях технологического присоединения энергопринимающих устройств (объектов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микрогенерации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), соответс</w:t>
      </w:r>
      <w:r>
        <w:rPr>
          <w:rFonts w:ascii="Liberation Sans" w:hAnsi="Liberation Sans" w:cs="Liberation Sans"/>
          <w:sz w:val="28"/>
          <w:szCs w:val="28"/>
        </w:rPr>
        <w:t xml:space="preserve">твующих указанным критериям, расположенных (предполагаемых к расположению в соответствии с поданной заявкой) в границах территории Ямало-Ненецкого автономного округа, при условии, что со дня заключения такого договора не истекло 3 года</w:t>
      </w:r>
      <w:r>
        <w:rPr>
          <w:rFonts w:ascii="Liberation Sans" w:hAnsi="Liberation Sans" w:cs="Liberation Sans"/>
          <w:sz w:val="28"/>
          <w:szCs w:val="28"/>
        </w:rPr>
        <w:t xml:space="preserve">»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 технологическом присоединении энергопринимающих устройств заявителей,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соответствующих критериям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указанным в абзацах 1, 4, 5, 20 и 26 пункта 17 Правил присоединения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если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такие устройства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расположены (буд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устройства, в отношении которых ранее уже была подана заявка, которая не была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аннулирована, или заключен договор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целях технологического присоединения энергопринимающих устройств, соответствующих критериям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указанным в абзацах 1, 4, 5, 20 и 26 пункта 17 Правил присоединения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при условии, что со дня заключения такого договора не истекло 3 года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(положения настоящего абзаца применяются также в случаях, когда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энергопринимающие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устройства расположены (будут распола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гаться) на земельных участках, образованных путем разделения, выделения или перераспределения после подачи заявки и (или) заключения договора в отношении энергопринимающих устройств, расположенных (планируемых к расположению) на исходном земельном участке)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896"/>
        <w:contextualSpacing/>
        <w:ind w:firstLine="540"/>
        <w:jc w:val="both"/>
        <w:spacing w:before="0" w:beforeAutospacing="0" w:line="240" w:lineRule="auto"/>
        <w:rPr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contextualSpacing/>
        <w:ind w:left="0" w:right="0" w:firstLine="708"/>
        <w:jc w:val="both"/>
        <w:spacing w:before="0" w:beforeAutospacing="0" w:after="0" w:line="240" w:lineRule="auto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color w:val="00000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 w:default="1">
    <w:name w:val="Normal"/>
    <w:next w:val="883"/>
    <w:link w:val="88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647">
    <w:name w:val="Heading 1"/>
    <w:basedOn w:val="646"/>
    <w:next w:val="646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8">
    <w:name w:val="Heading 2"/>
    <w:basedOn w:val="646"/>
    <w:next w:val="64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9">
    <w:name w:val="Heading 3"/>
    <w:basedOn w:val="646"/>
    <w:next w:val="646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0">
    <w:name w:val="Heading 4"/>
    <w:basedOn w:val="646"/>
    <w:next w:val="64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646"/>
    <w:next w:val="646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2">
    <w:name w:val="Heading 6"/>
    <w:basedOn w:val="646"/>
    <w:next w:val="646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3">
    <w:name w:val="Heading 7"/>
    <w:basedOn w:val="646"/>
    <w:next w:val="646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646"/>
    <w:next w:val="646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646"/>
    <w:next w:val="64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Heading 1 Char"/>
    <w:basedOn w:val="656"/>
    <w:uiPriority w:val="9"/>
    <w:rPr>
      <w:rFonts w:ascii="Arial" w:hAnsi="Arial" w:eastAsia="Arial" w:cs="Arial"/>
      <w:sz w:val="40"/>
      <w:szCs w:val="40"/>
    </w:rPr>
  </w:style>
  <w:style w:type="character" w:styleId="660" w:customStyle="1">
    <w:name w:val="Heading 2 Char"/>
    <w:basedOn w:val="656"/>
    <w:uiPriority w:val="9"/>
    <w:rPr>
      <w:rFonts w:ascii="Arial" w:hAnsi="Arial" w:eastAsia="Arial" w:cs="Arial"/>
      <w:sz w:val="34"/>
    </w:rPr>
  </w:style>
  <w:style w:type="character" w:styleId="661" w:customStyle="1">
    <w:name w:val="Heading 3 Char"/>
    <w:basedOn w:val="656"/>
    <w:uiPriority w:val="9"/>
    <w:rPr>
      <w:rFonts w:ascii="Arial" w:hAnsi="Arial" w:eastAsia="Arial" w:cs="Arial"/>
      <w:sz w:val="30"/>
      <w:szCs w:val="30"/>
    </w:rPr>
  </w:style>
  <w:style w:type="character" w:styleId="662" w:customStyle="1">
    <w:name w:val="Heading 4 Char"/>
    <w:basedOn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63" w:customStyle="1">
    <w:name w:val="Heading 5 Char"/>
    <w:basedOn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4" w:customStyle="1">
    <w:name w:val="Heading 6 Char"/>
    <w:basedOn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5" w:customStyle="1">
    <w:name w:val="Heading 7 Char"/>
    <w:basedOn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6" w:customStyle="1">
    <w:name w:val="Heading 8 Char"/>
    <w:basedOn w:val="656"/>
    <w:uiPriority w:val="9"/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9 Char"/>
    <w:basedOn w:val="656"/>
    <w:uiPriority w:val="9"/>
    <w:rPr>
      <w:rFonts w:ascii="Arial" w:hAnsi="Arial" w:eastAsia="Arial" w:cs="Arial"/>
      <w:i/>
      <w:iCs/>
      <w:sz w:val="21"/>
      <w:szCs w:val="21"/>
    </w:rPr>
  </w:style>
  <w:style w:type="character" w:styleId="668" w:customStyle="1">
    <w:name w:val="Header Char"/>
    <w:basedOn w:val="656"/>
    <w:uiPriority w:val="99"/>
  </w:style>
  <w:style w:type="character" w:styleId="669" w:customStyle="1">
    <w:name w:val="Caption Char"/>
    <w:uiPriority w:val="99"/>
  </w:style>
  <w:style w:type="paragraph" w:styleId="670">
    <w:name w:val="Header"/>
    <w:basedOn w:val="646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1">
    <w:name w:val="Footer"/>
    <w:basedOn w:val="646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2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3">
    <w:name w:val="Plain Table 1"/>
    <w:basedOn w:val="65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65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65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65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"/>
    <w:basedOn w:val="65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basedOn w:val="65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5 Dark"/>
    <w:basedOn w:val="65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3">
    <w:name w:val="Grid Table 6 Colorful"/>
    <w:basedOn w:val="65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4">
    <w:name w:val="Grid Table 7 Colorful"/>
    <w:basedOn w:val="65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List Table 1 Light"/>
    <w:basedOn w:val="65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List Table 2"/>
    <w:basedOn w:val="65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87">
    <w:name w:val="List Table 3"/>
    <w:basedOn w:val="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List Table 4"/>
    <w:basedOn w:val="65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List Table 5 Dark"/>
    <w:basedOn w:val="65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0">
    <w:name w:val="List Table 6 Colorful"/>
    <w:basedOn w:val="65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1">
    <w:name w:val="List Table 7 Colorful"/>
    <w:basedOn w:val="65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92" w:customStyle="1">
    <w:name w:val="Заголовок 1 Знак1"/>
    <w:basedOn w:val="656"/>
    <w:link w:val="647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1"/>
    <w:basedOn w:val="656"/>
    <w:link w:val="648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1"/>
    <w:basedOn w:val="656"/>
    <w:link w:val="649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1"/>
    <w:basedOn w:val="656"/>
    <w:link w:val="650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1"/>
    <w:basedOn w:val="656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1"/>
    <w:basedOn w:val="656"/>
    <w:link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1"/>
    <w:basedOn w:val="656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1"/>
    <w:basedOn w:val="656"/>
    <w:link w:val="654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1"/>
    <w:basedOn w:val="656"/>
    <w:link w:val="655"/>
    <w:uiPriority w:val="9"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56"/>
    <w:uiPriority w:val="10"/>
    <w:rPr>
      <w:sz w:val="48"/>
      <w:szCs w:val="48"/>
    </w:rPr>
  </w:style>
  <w:style w:type="character" w:styleId="702" w:customStyle="1">
    <w:name w:val="Subtitle Char"/>
    <w:basedOn w:val="656"/>
    <w:uiPriority w:val="11"/>
    <w:rPr>
      <w:sz w:val="24"/>
      <w:szCs w:val="24"/>
    </w:rPr>
  </w:style>
  <w:style w:type="character" w:styleId="703" w:customStyle="1">
    <w:name w:val="Quote Char"/>
    <w:uiPriority w:val="29"/>
    <w:rPr>
      <w:i/>
    </w:rPr>
  </w:style>
  <w:style w:type="character" w:styleId="704" w:customStyle="1">
    <w:name w:val="Intense Quote Char"/>
    <w:uiPriority w:val="30"/>
    <w:rPr>
      <w:i/>
    </w:rPr>
  </w:style>
  <w:style w:type="character" w:styleId="705" w:customStyle="1">
    <w:name w:val="Верхний колонтитул Знак1"/>
    <w:basedOn w:val="656"/>
    <w:link w:val="670"/>
    <w:uiPriority w:val="99"/>
  </w:style>
  <w:style w:type="character" w:styleId="706" w:customStyle="1">
    <w:name w:val="Нижний колонтитул Знак1"/>
    <w:link w:val="671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paragraph" w:styleId="709" w:customStyle="1">
    <w:name w:val="Заголовок 11"/>
    <w:link w:val="7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0" w:customStyle="1">
    <w:name w:val="Заголовок 21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1" w:customStyle="1">
    <w:name w:val="Заголовок 31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 w:customStyle="1">
    <w:name w:val="Заголовок 61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 w:customStyle="1">
    <w:name w:val="Заголовок 71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 w:customStyle="1">
    <w:name w:val="Заголовок 91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Заголовок 1 Знак"/>
    <w:link w:val="709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10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11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uiPriority w:val="34"/>
    <w:qFormat/>
    <w:pPr>
      <w:contextualSpacing/>
      <w:ind w:left="720"/>
    </w:pPr>
  </w:style>
  <w:style w:type="paragraph" w:styleId="728">
    <w:name w:val="No Spacing"/>
    <w:uiPriority w:val="1"/>
    <w:qFormat/>
  </w:style>
  <w:style w:type="paragraph" w:styleId="729">
    <w:name w:val="Title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Заголовок Знак"/>
    <w:link w:val="729"/>
    <w:uiPriority w:val="10"/>
    <w:rPr>
      <w:sz w:val="48"/>
      <w:szCs w:val="48"/>
    </w:rPr>
  </w:style>
  <w:style w:type="paragraph" w:styleId="731">
    <w:name w:val="Subtitle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 w:customStyle="1">
    <w:name w:val="Верхний колонтитул1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 w:customStyle="1">
    <w:name w:val="Нижний колонтитул1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 w:customStyle="1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657"/>
    <w:uiPriority w:val="39"/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uiPriority w:val="39"/>
    <w:unhideWhenUsed/>
    <w:pPr>
      <w:spacing w:after="57"/>
    </w:pPr>
  </w:style>
  <w:style w:type="paragraph" w:styleId="877">
    <w:name w:val="toc 2"/>
    <w:uiPriority w:val="39"/>
    <w:unhideWhenUsed/>
    <w:pPr>
      <w:ind w:left="283"/>
      <w:spacing w:after="57"/>
    </w:pPr>
  </w:style>
  <w:style w:type="paragraph" w:styleId="878">
    <w:name w:val="toc 3"/>
    <w:uiPriority w:val="39"/>
    <w:unhideWhenUsed/>
    <w:pPr>
      <w:ind w:left="567"/>
      <w:spacing w:after="57"/>
    </w:pPr>
  </w:style>
  <w:style w:type="paragraph" w:styleId="879">
    <w:name w:val="toc 4"/>
    <w:uiPriority w:val="39"/>
    <w:unhideWhenUsed/>
    <w:pPr>
      <w:ind w:left="850"/>
      <w:spacing w:after="57"/>
    </w:pPr>
  </w:style>
  <w:style w:type="paragraph" w:styleId="880">
    <w:name w:val="toc 5"/>
    <w:uiPriority w:val="39"/>
    <w:unhideWhenUsed/>
    <w:pPr>
      <w:ind w:left="1134"/>
      <w:spacing w:after="57"/>
    </w:pPr>
  </w:style>
  <w:style w:type="paragraph" w:styleId="881">
    <w:name w:val="toc 6"/>
    <w:uiPriority w:val="39"/>
    <w:unhideWhenUsed/>
    <w:pPr>
      <w:ind w:left="1417"/>
      <w:spacing w:after="57"/>
    </w:pPr>
  </w:style>
  <w:style w:type="paragraph" w:styleId="882">
    <w:name w:val="toc 7"/>
    <w:uiPriority w:val="39"/>
    <w:unhideWhenUsed/>
    <w:pPr>
      <w:ind w:left="1701"/>
      <w:spacing w:after="57"/>
    </w:pPr>
  </w:style>
  <w:style w:type="paragraph" w:styleId="883">
    <w:name w:val="toc 8"/>
    <w:uiPriority w:val="39"/>
    <w:unhideWhenUsed/>
    <w:pPr>
      <w:ind w:left="1984"/>
      <w:spacing w:after="57"/>
    </w:pPr>
  </w:style>
  <w:style w:type="paragraph" w:styleId="884">
    <w:name w:val="toc 9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uiPriority w:val="99"/>
    <w:unhideWhenUsed/>
  </w:style>
  <w:style w:type="paragraph" w:styleId="887" w:customStyle="1">
    <w:name w:val="Знак Знак Знак Знак"/>
    <w:basedOn w:val="64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88" w:customStyle="1">
    <w:name w:val="ConsPlusNormal"/>
    <w:pPr>
      <w:ind w:firstLine="720"/>
    </w:pPr>
    <w:rPr>
      <w:rFonts w:ascii="Arial" w:hAnsi="Arial"/>
      <w:lang w:eastAsia="ru-RU"/>
    </w:rPr>
  </w:style>
  <w:style w:type="paragraph" w:styleId="889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90">
    <w:name w:val="Body Text Indent 2"/>
    <w:basedOn w:val="646"/>
    <w:link w:val="892"/>
    <w:pPr>
      <w:ind w:firstLine="720"/>
      <w:jc w:val="both"/>
    </w:pPr>
    <w:rPr>
      <w:sz w:val="28"/>
    </w:rPr>
  </w:style>
  <w:style w:type="paragraph" w:styleId="891" w:customStyle="1">
    <w:name w:val="ConsPlusNonformat"/>
    <w:rPr>
      <w:rFonts w:ascii="Courier New" w:hAnsi="Courier New"/>
      <w:lang w:eastAsia="ru-RU"/>
    </w:rPr>
  </w:style>
  <w:style w:type="character" w:styleId="892" w:customStyle="1">
    <w:name w:val="Основной текст с отступом 2 Знак"/>
    <w:link w:val="890"/>
    <w:rPr>
      <w:sz w:val="28"/>
      <w:szCs w:val="24"/>
    </w:rPr>
  </w:style>
  <w:style w:type="paragraph" w:styleId="893">
    <w:name w:val="Balloon Text"/>
    <w:basedOn w:val="646"/>
    <w:link w:val="894"/>
    <w:rPr>
      <w:rFonts w:ascii="Tahoma" w:hAnsi="Tahoma"/>
      <w:sz w:val="16"/>
      <w:szCs w:val="16"/>
    </w:rPr>
  </w:style>
  <w:style w:type="character" w:styleId="894" w:customStyle="1">
    <w:name w:val="Текст выноски Знак"/>
    <w:link w:val="893"/>
    <w:rPr>
      <w:rFonts w:ascii="Tahoma" w:hAnsi="Tahoma"/>
      <w:sz w:val="16"/>
      <w:szCs w:val="16"/>
    </w:rPr>
  </w:style>
  <w:style w:type="paragraph" w:styleId="89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/>
      <w:b/>
      <w:sz w:val="22"/>
      <w:lang w:eastAsia="ru-RU"/>
    </w:rPr>
  </w:style>
  <w:style w:type="paragraph" w:styleId="89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/>
    </w:rPr>
  </w:style>
  <w:style w:type="paragraph" w:styleId="897" w:customStyle="1">
    <w:name w:val="Обычный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ru-RU"/>
    </w:rPr>
  </w:style>
  <w:style w:type="paragraph" w:styleId="898" w:customStyle="1">
    <w:name w:val="Основной текст с отступом 21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899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Катошин</dc:creator>
  <cp:revision>20</cp:revision>
  <dcterms:created xsi:type="dcterms:W3CDTF">2022-11-22T10:47:00Z</dcterms:created>
  <dcterms:modified xsi:type="dcterms:W3CDTF">2024-12-25T03:46:35Z</dcterms:modified>
</cp:coreProperties>
</file>