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5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1696745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45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45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45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45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45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45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45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632-т</w:t>
      </w:r>
      <w:r/>
    </w:p>
    <w:p>
      <w:pPr>
        <w:pStyle w:val="846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45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ind w:left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Об установлении цен (тарифов) на электрическую энергию 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для населения и приравненных к нему категорий потребителей 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widowControl w:val="off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по Ямало-Ненец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кому автономному округу 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на 2024 год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20"/>
        <w:jc w:val="both"/>
        <w:spacing w:before="0"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26 марта 2003 года </w:t>
        <w:br/>
        <w:t xml:space="preserve">№ 35-ФЗ «Об электроэнергетике», постановлением Правительства Российской Федерации от 29 декабря 2011 года № 1178 </w:t>
        <w:br/>
        <w:t xml:space="preserve">«О ценообразовании в области регулируемых цен (тарифов) </w:t>
        <w:br/>
        <w:t xml:space="preserve">в электроэнергетике»,</w:t>
      </w:r>
      <w:r>
        <w:rPr>
          <w:rFonts w:ascii="Liberation Sans" w:hAnsi="Liberation Sans" w:cs="Liberation Sans"/>
          <w:sz w:val="28"/>
          <w:szCs w:val="28"/>
        </w:rPr>
        <w:t xml:space="preserve"> приказом ФАС России 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от 10 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марта 2022 года 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br/>
        <w:t xml:space="preserve">№ 196/22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Об утверждении Регламента установления цен (тарифов) и (или) их предельных уровней, предусматривающего порядок регистрации, принятия 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к рассмотрению и выдачи отказов в рассмотрении заявлений об установлении цен (тарифов) и (или) 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их предельных уровней, и формы решения органа исполнительной власти субъекта Российской Федерации в области государственного регулирования тарифов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», </w:t>
      </w:r>
      <w:r>
        <w:rPr>
          <w:rFonts w:ascii="Liberation Sans" w:hAnsi="Liberation Sans" w:cs="Liberation Sans"/>
          <w:sz w:val="28"/>
          <w:szCs w:val="28"/>
        </w:rPr>
        <w:t xml:space="preserve">приказом Федеральной антимонопольной служ</w:t>
      </w:r>
      <w:r>
        <w:rPr>
          <w:rFonts w:ascii="Liberation Sans" w:hAnsi="Liberation Sans" w:cs="Liberation Sans"/>
          <w:sz w:val="28"/>
          <w:szCs w:val="28"/>
        </w:rPr>
        <w:t xml:space="preserve">бы </w:t>
      </w:r>
      <w:r>
        <w:rPr>
          <w:rFonts w:ascii="Liberation Sans" w:hAnsi="Liberation Sans" w:cs="Liberation Sans"/>
          <w:sz w:val="28"/>
          <w:szCs w:val="28"/>
        </w:rPr>
        <w:br/>
        <w:t xml:space="preserve">от 12 октября 2023 года № 7</w:t>
      </w:r>
      <w:r>
        <w:rPr>
          <w:rFonts w:ascii="Liberation Sans" w:hAnsi="Liberation Sans" w:cs="Liberation Sans"/>
          <w:sz w:val="28"/>
          <w:szCs w:val="28"/>
        </w:rPr>
        <w:t xml:space="preserve">26/23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«О предельных минимальных </w:t>
        <w:br/>
        <w:t xml:space="preserve">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Российской Федерации на 2024 год»,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</w:t>
        <w:br/>
        <w:t xml:space="preserve">от 25 декабря 2013 года №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1081-П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«О департ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ю: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1. Установить с 01 января 2024 года по 31 декабря 2024 года </w:t>
      </w:r>
      <w:hyperlink r:id="rId11" w:tooltip="consultantplus://offline/ref=58344B958071A86B3646561228E60966DC92E4268CC732E0E688963FA3777EF3402C79FCB4CEF4D9C1E0E0d0j8J" w:history="1">
        <w:r>
          <w:rPr>
            <w:rFonts w:ascii="Liberation Sans" w:hAnsi="Liberation Sans" w:eastAsia="Liberation Serif" w:cs="Liberation Sans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sz w:val="28"/>
          <w:szCs w:val="28"/>
        </w:rPr>
        <w:t xml:space="preserve">, согласно приложению.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ind w:left="5664" w:firstLine="708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left="5388" w:hanging="1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</w:rPr>
        <w:t xml:space="preserve">ПРИЛОЖЕНИЕ</w:t>
      </w:r>
      <w:r>
        <w:rPr>
          <w:rFonts w:ascii="Liberation Sans" w:hAnsi="Liberation Sans" w:cs="Liberation Sans"/>
        </w:rPr>
      </w:r>
      <w:r/>
    </w:p>
    <w:p>
      <w:pPr>
        <w:contextualSpacing/>
        <w:ind w:left="5388" w:hanging="1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highlight w:val="none"/>
        </w:rPr>
      </w:r>
      <w:r>
        <w:rPr>
          <w:rFonts w:ascii="Liberation Sans" w:hAnsi="Liberation Sans" w:eastAsia="Liberation Serif" w:cs="Liberation Sans"/>
          <w:highlight w:val="none"/>
        </w:rPr>
      </w:r>
      <w:r/>
    </w:p>
    <w:p>
      <w:pPr>
        <w:contextualSpacing/>
        <w:ind w:left="5388" w:hanging="1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к приказу департамента тарифной политики, энергетики и жилищно-коммунального комплекса </w:t>
      </w:r>
      <w:bookmarkStart w:id="0" w:name="_GoBack"/>
      <w:r>
        <w:rPr>
          <w:rFonts w:ascii="Liberation Sans" w:hAnsi="Liberation Sans" w:cs="Liberation Sans"/>
        </w:rPr>
      </w:r>
      <w:bookmarkEnd w:id="0"/>
      <w:r>
        <w:rPr>
          <w:rFonts w:ascii="Liberation Sans" w:hAnsi="Liberation Sans" w:eastAsia="Liberation Serif" w:cs="Liberation Sans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contextualSpacing/>
        <w:ind w:left="5388" w:hanging="1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  <w:t xml:space="preserve">от 19 декабря 2023 года № 632-т</w:t>
      </w:r>
      <w:r/>
    </w:p>
    <w:p>
      <w:pPr>
        <w:contextualSpacing/>
        <w:jc w:val="left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widowControl w:val="off"/>
        <w:rPr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Цены (тарифы) на электрическую энергию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для населения и приравненных к нему категорий потребителей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по Ямало-Ненец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кому автономному округу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contextualSpacing/>
        <w:jc w:val="center"/>
        <w:widowControl w:val="off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на 2024 год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contextualSpacing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tbl>
      <w:tblPr>
        <w:tblW w:w="100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680"/>
        <w:gridCol w:w="2160"/>
        <w:gridCol w:w="2160"/>
      </w:tblGrid>
      <w:tr>
        <w:trPr/>
        <w:tc>
          <w:tcPr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080" w:type="dxa"/>
            <w:vMerge w:val="restart"/>
            <w:textDirection w:val="lrTb"/>
            <w:noWrap w:val="false"/>
          </w:tcPr>
          <w:p>
            <w:pPr>
              <w:pStyle w:val="845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Ямало-Ненецкий автономный округ (территория Ямало-Ненецкого автономного округа, технологически не связанная с Единой энергетической системой России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5"/>
              <w:jc w:val="center"/>
              <w:rPr>
                <w:rFonts w:ascii="Liberation Serif" w:hAnsi="Liberation Serif" w:eastAsia="Liberation Serif" w:cs="Liberation Serif"/>
              </w:rPr>
            </w:pPr>
            <w:r>
              <w:rPr>
                <w:rFonts w:ascii="Liberation Sans" w:hAnsi="Liberation Sans" w:eastAsia="Liberation Serif" w:cs="Liberation Sans"/>
              </w:rPr>
              <w:t xml:space="preserve">и т</w:t>
            </w:r>
            <w:r>
              <w:rPr>
                <w:rFonts w:ascii="Liberation Sans" w:hAnsi="Liberation Sans" w:eastAsia="Liberation Serif" w:cs="Liberation Sans"/>
              </w:rPr>
              <w:t xml:space="preserve">ехнологически изолированными территориальными электроэнергетическими системами)</w:t>
            </w:r>
            <w:r>
              <w:rPr>
                <w:rFonts w:ascii="Liberation Serif" w:hAnsi="Liberation Serif" w:eastAsia="Liberation Serif" w:cs="Liberation Serif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№ 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7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vMerge w:val="restart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Категории потребителей с разбивкой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pStyle w:val="848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 ставкам и дифференциацией по зонам суток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32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Цена (тариф),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руб./кВт.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ч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                         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(с учетом НДС)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I полугодие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II полугодие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Население и приравненные к нему, за исключением населения и потребителей, указанных в </w:t>
            </w:r>
            <w:hyperlink r:id="rId12" w:tooltip="consultantplus://offline/ref=A8EB71213BBBD44D6BE35CFB5BD47D9995598DE1846D5C1BCFFCE3472F417B0B113023AE5F9788D8FCC12B84449EA848BB0317909F43FF1Ek2uCK" w:history="1">
              <w:r>
                <w:rPr>
                  <w:rFonts w:ascii="Liberation Sans" w:hAnsi="Liberation Sans" w:cs="Liberation Sans"/>
                  <w:sz w:val="22"/>
                  <w:szCs w:val="22"/>
                </w:rPr>
                <w:t xml:space="preserve">строках 2</w:t>
              </w:r>
            </w:hyperlink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- </w:t>
            </w:r>
            <w:hyperlink r:id="rId13" w:tooltip="consultantplus://offline/ref=A8EB71213BBBD44D6BE35CFB5BD47D9995598DE1846D5C1BCFFCE3472F417B0B113023AE5F9788DDF5C12B84449EA848BB0317909F43FF1Ek2uCK" w:history="1">
              <w:r>
                <w:rPr>
                  <w:rFonts w:ascii="Liberation Sans" w:hAnsi="Liberation Sans" w:cs="Liberation Sans"/>
                  <w:sz w:val="22"/>
                  <w:szCs w:val="22"/>
                </w:rPr>
                <w:t xml:space="preserve">5</w:t>
              </w:r>
            </w:hyperlink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: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наймодатели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юридические и физические лица,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1.1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3,45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3,75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1.2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Дневная зона (пиковая и полупиковая)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3,51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3,82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1,73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1,88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1.3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Пиковая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3,53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3,84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Полупиковая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3,45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3,75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1,73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1,88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наймодатели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пользования в домах, в которых имеются жилые помещения специализированного жилого фонда;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юридические и физические лица,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2.1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2,43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2.2</w:t>
            </w:r>
            <w:bookmarkEnd w:id="0"/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Дневная зона (пиковая и полупиковая)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2,45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2,67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1,19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1,30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2.3</w:t>
            </w:r>
            <w:bookmarkEnd w:id="0"/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Пиковая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2,46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2,69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Полупиковая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2,41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1,19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1,30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iCs/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iCs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cs="Liberation Sans"/>
                <w:iCs/>
                <w:sz w:val="22"/>
                <w:szCs w:val="22"/>
              </w:rPr>
              <w:t xml:space="preserve">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iCs/>
                <w:sz w:val="22"/>
                <w:szCs w:val="22"/>
              </w:rPr>
              <w:t xml:space="preserve">наймодатели</w:t>
            </w:r>
            <w:r>
              <w:rPr>
                <w:rFonts w:ascii="Liberation Sans" w:hAnsi="Liberation Sans" w:cs="Liberation Sans"/>
                <w:iCs/>
                <w:sz w:val="22"/>
                <w:szCs w:val="22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cs="Liberation Sans"/>
                <w:iCs/>
                <w:sz w:val="22"/>
                <w:szCs w:val="22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cs="Liberation Sans"/>
                <w:iCs/>
                <w:sz w:val="22"/>
                <w:szCs w:val="22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iCs/>
                <w:sz w:val="22"/>
                <w:szCs w:val="22"/>
              </w:rPr>
              <w:t xml:space="preserve">юридические и физические лица,</w:t>
            </w:r>
            <w:r>
              <w:rPr>
                <w:rFonts w:ascii="Liberation Sans" w:hAnsi="Liberation Sans" w:cs="Liberation Sans"/>
                <w:iCs/>
                <w:sz w:val="22"/>
                <w:szCs w:val="22"/>
              </w:rPr>
              <w:t xml:space="preserve">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3.1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2,43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3.2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Дневная зона (пиковая и полупиковая)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2,45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2,67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1,19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1,30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3.3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Пиковая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2,46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2,69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Полупиковая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2,41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1,19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1,30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4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наймодатели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юридические и физические лица,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4.1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2,43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4.2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Дневная зона (пиковая и полупиковая)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2,45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2,67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1,19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1,30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4.3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Пиковая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2,46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2,69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Полупиковая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2,41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1,19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1,30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Население, проживающее в сельских населенных пунктах, и приравненные к нему: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наймодатели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юридические и физические лица,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5.1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2,43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5.2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Дневная зона (пиковая и полупиковая)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2,45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2,67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1,19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1,30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5.3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Пиковая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2,46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2,69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Полупиковая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2,41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1,19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1,30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Потребители, приравненные к населению: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6.1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наймодатели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(или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исполнителей коммунальных услуг (товариществ собственников жилья, жилищно-строительных, жилищных или иных специа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наймодателей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6.1.1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3,45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3,75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6.1.2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Дневная зона (пиковая и полупиковая)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3,51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3,82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1,73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1,88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6.1.3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Пиковая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3,53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3,84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Полупиковая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3,45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3,75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1,73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1,88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6.2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Садоводческие некоммерческие товарищества и огороднические некоммерческие товарищества.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6.2.1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3,45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3,75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6.2.2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Дневная зона (пиковая и полупиковая)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3,51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3,82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1,73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1,88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6.2.3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Пиковая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3,53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3,84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Полупиковая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3,45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3,75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1,73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1,88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6.3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6.3.1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3,45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3,75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6.3.2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Дневная зона (пиковая и полупиковая)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3,51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3,82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1,73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1,88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6.3.3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Пиковая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3,53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3,84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Полупиковая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3,45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3,75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1,73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1,88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6.4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Содержащиеся за счет прихожан религиозные организации.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6.4.1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3,45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3,75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6.4.2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Дневная зона (пиковая и полупиковая)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3,51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3,82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1,73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1,88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6.4.3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Пиковая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3,53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3,84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Полупиковая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3,45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3,75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1,73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1,88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6.5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Гарантирующие поставщики,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энергосбытовые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,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энергоснабжающие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6.5.1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3,45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3,75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6.5.2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Дневная зона (пиковая и полупиковая)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3,51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3,82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1,73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1,88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6.5.3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Пиковая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3,53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3,84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Полупиковая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3,45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3,75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1,73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1,88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6.6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35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6.6.1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3,45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3,75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6.6.2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двум зонам суток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Дневная зона (пиковая и полупиковая)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3,51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3,82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1,73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1,88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6.6.3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00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Одноставочный тариф, дифференцированный по трем зонам суток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Пиковая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3,53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3,84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Полупиковая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3,45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3,75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8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Ночная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1,73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1,88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contextualSpacing/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5"/>
        <w:jc w:val="right"/>
        <w:rPr>
          <w:rFonts w:ascii="Liberation Sans" w:hAnsi="Liberation Sans" w:cs="Liberation Sans"/>
          <w:highlight w:val="none"/>
        </w:rPr>
        <w:outlineLvl w:val="0"/>
      </w:pPr>
      <w:r>
        <w:rPr>
          <w:rFonts w:ascii="Liberation Sans" w:hAnsi="Liberation Sans" w:eastAsia="Liberation Serif" w:cs="Liberation Sans"/>
        </w:rPr>
        <w:t xml:space="preserve">Таблица 1</w:t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  <w:t xml:space="preserve">Балансовые показатели планового объема полезного отпуска электрической энергии, используемые при расчете цен (тарифов) на электрическую энергию </w:t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для населения и приравненных к нему категорий потребителей </w:t>
      </w:r>
      <w:r>
        <w:rPr>
          <w:rFonts w:ascii="Liberation Sans" w:hAnsi="Liberation Sans" w:cs="Liberation Sans"/>
        </w:rPr>
      </w:r>
      <w:r/>
    </w:p>
    <w:p>
      <w:pPr>
        <w:jc w:val="center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по Я</w:t>
      </w:r>
      <w:r>
        <w:rPr>
          <w:rFonts w:ascii="Liberation Sans" w:hAnsi="Liberation Sans" w:cs="Liberation Sans"/>
        </w:rPr>
        <w:t xml:space="preserve">мало-Ненецкому автономному округу &lt;*&gt;</w:t>
      </w:r>
      <w:r/>
    </w:p>
    <w:p>
      <w:pPr>
        <w:ind w:left="-284" w:firstLine="284"/>
        <w:jc w:val="center"/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</w:r>
      <w:r/>
    </w:p>
    <w:tbl>
      <w:tblPr>
        <w:tblW w:w="100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860"/>
        <w:gridCol w:w="2070"/>
        <w:gridCol w:w="2070"/>
      </w:tblGrid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  <w:sz w:val="22"/>
                <w:szCs w:val="22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vMerge w:val="restart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Категории потребителей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4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Плановый объем полезного отпуска электрической энергии, млн.кВт.ч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I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полугодие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II полугодие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Население и приравненные к нему, за исключением населения и потребителей, указанных в </w:t>
            </w:r>
            <w:hyperlink w:tooltip="#P519" w:anchor="P519" w:history="1">
              <w:r>
                <w:rPr>
                  <w:rFonts w:ascii="Liberation Sans" w:hAnsi="Liberation Sans" w:cs="Liberation Sans"/>
                  <w:sz w:val="22"/>
                  <w:szCs w:val="22"/>
                </w:rPr>
                <w:t xml:space="preserve">строках 2</w:t>
              </w:r>
            </w:hyperlink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- </w:t>
            </w:r>
            <w:hyperlink w:tooltip="#P540" w:anchor="P540" w:history="1">
              <w:r>
                <w:rPr>
                  <w:rFonts w:ascii="Liberation Sans" w:hAnsi="Liberation Sans" w:cs="Liberation Sans"/>
                  <w:sz w:val="22"/>
                  <w:szCs w:val="22"/>
                </w:rPr>
                <w:t xml:space="preserve">5</w:t>
              </w:r>
            </w:hyperlink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: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наймодатели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юридические и физические лица,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771,46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691,69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стационарными электроплитами и электроотопительными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установками, и приравненные к нему: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наймодатели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юридические и физические лица,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252,06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224,64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имущества многоквартирных домов;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наймодатели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юридические и физические лица,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1545,55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1455,53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4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наймодатели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(или уполномоченные ими лица), предоставляющие гражданам жилые помеще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юридические и физические лица,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10,05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8,23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Население, проживающее в сельских населенных пунктах и приравненные к нему: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наймодатели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юридические и физические лица, приобретающие электрическую энергию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782,74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669,60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Потребители, приравненные к населению: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189,96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142,18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6.1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наймодатели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исполнителей коммунальных услуг (товариществ собственников жилья, жилищно-строительных, жилищных или иных специа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наймодателей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3,16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2,33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6.2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Садоводческие некоммерческие товарищества и огороднические некоммерческие товарищества.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48,60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42,72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6.3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19,87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2,69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6.4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Содержащиеся за счет прихожан религиозные организации.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7,73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6,79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6.5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Гарантирующие поставщики,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энергосбытовые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,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энергоснабжающие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17,33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11,52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6.6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93,25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76,12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firstLine="720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</w:rPr>
        <w:t xml:space="preserve">&lt;*&gt; т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ерритория Ямало-Ненецкого автономного округа, технологически не связанная с Единой энергетической системой России и технологически изолированными территориальными электроэнергетическими системами</w:t>
      </w:r>
      <w:r>
        <w:rPr>
          <w:rFonts w:ascii="Liberation Sans" w:hAnsi="Liberation Sans" w:cs="Liberation Sans"/>
          <w:sz w:val="20"/>
          <w:szCs w:val="20"/>
        </w:rPr>
        <w:t xml:space="preserve">.</w:t>
      </w:r>
      <w:r>
        <w:rPr>
          <w:sz w:val="20"/>
          <w:szCs w:val="20"/>
        </w:rPr>
      </w:r>
      <w:r/>
    </w:p>
    <w:p>
      <w:pPr>
        <w:pStyle w:val="835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5"/>
        <w:jc w:val="right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5"/>
        <w:jc w:val="right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5"/>
        <w:jc w:val="right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5"/>
        <w:jc w:val="right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5"/>
        <w:jc w:val="right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5"/>
        <w:jc w:val="right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5"/>
        <w:jc w:val="right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5"/>
        <w:jc w:val="right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5"/>
        <w:jc w:val="right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5"/>
        <w:jc w:val="right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/>
    </w:p>
    <w:p>
      <w:pPr>
        <w:pStyle w:val="835"/>
        <w:jc w:val="right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</w:rPr>
        <w:t xml:space="preserve">Таблица 2</w:t>
      </w:r>
      <w:r>
        <w:rPr>
          <w:rFonts w:ascii="Liberation Sans" w:hAnsi="Liberation Sans" w:cs="Liberation Sans"/>
        </w:rPr>
      </w:r>
      <w:r/>
    </w:p>
    <w:p>
      <w:pPr>
        <w:pStyle w:val="835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tbl>
      <w:tblPr>
        <w:tblW w:w="100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860"/>
        <w:gridCol w:w="2070"/>
        <w:gridCol w:w="2070"/>
      </w:tblGrid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№ 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vMerge w:val="restart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Категории потребителей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4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Примененный понижающий коэффициент при установлении цен (тарифов) на электрическую энергию (мощность)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vMerge w:val="continue"/>
            <w:textDirection w:val="lrTb"/>
            <w:noWrap w:val="false"/>
          </w:tcPr>
          <w:p>
            <w:pPr>
              <w:pStyle w:val="84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I полугодие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II полугодие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наймодатели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юридические и физические лица,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0,7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0,7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2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приравненные к нему: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наймодатели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юридические и физические лица,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0,7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0,7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3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имущества многоквартирных домов;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наймодатели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юридические и физические лица,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0,7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0,7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4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Население, проживающее в сельских населенных пунктах и приравненные к нему: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наймодатели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приобретающие электрическую энерг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юридические и физические лица,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0,7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0,7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Потребители, приравненные к населению: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5.1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наймодатели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исполнителей коммунальных услуг (товариществ собственников жилья, жилищно-строительных, жилищных или иных специа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наймодателей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(или уполномоченных ими лиц), предоставляющих гражданам жилые помещения специализированного жилищного фонда, включая жилые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помещения в общежитиях, жилые помещения маневренного фонда, жилые помещения в домах системы социального обслуживания населения,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5.2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Садоводческие некоммерческие товарищества и огороднические некоммерческие товарищества.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>
              <w:rPr>
                <w:rFonts w:ascii="Liberation Sans" w:hAnsi="Liberation Sans" w:cs="Liberation Sans"/>
                <w:sz w:val="22"/>
                <w:szCs w:val="22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5.3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5.4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Содержащиеся за счет прихожан религиозные организации.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5.5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Гарантирующие поставщики,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энергосбытовые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, 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энергоснабжающие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</w:t>
            </w: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847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bookmarkStart w:id="0" w:name="undefined"/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5.6</w:t>
            </w:r>
            <w:bookmarkEnd w:id="0"/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60" w:type="dxa"/>
            <w:textDirection w:val="lrTb"/>
            <w:noWrap w:val="false"/>
          </w:tcPr>
          <w:p>
            <w:pPr>
              <w:pStyle w:val="835"/>
              <w:ind w:firstLine="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48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070" w:type="dxa"/>
            <w:textDirection w:val="lrTb"/>
            <w:noWrap w:val="false"/>
          </w:tcPr>
          <w:p>
            <w:pPr>
              <w:pStyle w:val="848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2"/>
                <w:szCs w:val="22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873" w:right="567" w:bottom="760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835"/>
      </w:pPr>
      <w:r>
        <w:separator/>
      </w:r>
      <w:r/>
    </w:p>
  </w:endnote>
  <w:endnote w:type="continuationSeparator" w:id="0">
    <w:p>
      <w:pPr>
        <w:pStyle w:val="835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 CYR">
    <w:panose1 w:val="020206030504050203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35"/>
      </w:pPr>
      <w:r>
        <w:separator/>
      </w:r>
      <w:r/>
    </w:p>
  </w:footnote>
  <w:footnote w:type="continuationSeparator" w:id="0">
    <w:p>
      <w:pPr>
        <w:pStyle w:val="835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6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37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63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39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40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41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42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3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44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645">
    <w:name w:val="Title Char"/>
    <w:basedOn w:val="663"/>
    <w:link w:val="677"/>
    <w:uiPriority w:val="10"/>
    <w:rPr>
      <w:sz w:val="48"/>
      <w:szCs w:val="48"/>
    </w:rPr>
  </w:style>
  <w:style w:type="character" w:styleId="646">
    <w:name w:val="Subtitle Char"/>
    <w:basedOn w:val="663"/>
    <w:link w:val="679"/>
    <w:uiPriority w:val="11"/>
    <w:rPr>
      <w:sz w:val="24"/>
      <w:szCs w:val="24"/>
    </w:rPr>
  </w:style>
  <w:style w:type="character" w:styleId="647">
    <w:name w:val="Quote Char"/>
    <w:link w:val="681"/>
    <w:uiPriority w:val="29"/>
    <w:rPr>
      <w:i/>
    </w:rPr>
  </w:style>
  <w:style w:type="character" w:styleId="648">
    <w:name w:val="Intense Quote Char"/>
    <w:link w:val="683"/>
    <w:uiPriority w:val="30"/>
    <w:rPr>
      <w:i/>
    </w:rPr>
  </w:style>
  <w:style w:type="character" w:styleId="649">
    <w:name w:val="Header Char"/>
    <w:basedOn w:val="663"/>
    <w:link w:val="685"/>
    <w:uiPriority w:val="99"/>
  </w:style>
  <w:style w:type="character" w:styleId="650">
    <w:name w:val="Caption Char"/>
    <w:basedOn w:val="689"/>
    <w:link w:val="687"/>
    <w:uiPriority w:val="99"/>
  </w:style>
  <w:style w:type="character" w:styleId="651">
    <w:name w:val="Footnote Text Char"/>
    <w:link w:val="818"/>
    <w:uiPriority w:val="99"/>
    <w:rPr>
      <w:sz w:val="18"/>
    </w:rPr>
  </w:style>
  <w:style w:type="character" w:styleId="652">
    <w:name w:val="Endnote Text Char"/>
    <w:link w:val="821"/>
    <w:uiPriority w:val="99"/>
    <w:rPr>
      <w:sz w:val="20"/>
    </w:rPr>
  </w:style>
  <w:style w:type="paragraph" w:styleId="653" w:default="1">
    <w:name w:val="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 w:customStyle="1">
    <w:name w:val="Название Знак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 w:after="200"/>
    </w:pPr>
  </w:style>
  <w:style w:type="character" w:styleId="680" w:customStyle="1">
    <w:name w:val="Подзаголовок Знак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uiPriority w:val="99"/>
  </w:style>
  <w:style w:type="paragraph" w:styleId="689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1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2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3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4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5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6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3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5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6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7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8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1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2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3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4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5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6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47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4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6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8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9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0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1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Lined - Accent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8" w:customStyle="1">
    <w:name w:val="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9" w:customStyle="1">
    <w:name w:val="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0" w:customStyle="1">
    <w:name w:val="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1" w:customStyle="1">
    <w:name w:val="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2" w:customStyle="1">
    <w:name w:val="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3" w:customStyle="1">
    <w:name w:val="Bordered &amp; Lined - Accent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5" w:customStyle="1">
    <w:name w:val="Bordered &amp; Lined - Accent 2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6" w:customStyle="1">
    <w:name w:val="Bordered &amp; Lined - Accent 3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7" w:customStyle="1">
    <w:name w:val="Bordered &amp; Lined - Accent 4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8" w:customStyle="1">
    <w:name w:val="Bordered &amp; Lined - Accent 5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9" w:customStyle="1">
    <w:name w:val="Bordered &amp; Lined - Accent 6"/>
    <w:uiPriority w:val="99"/>
    <w:rPr>
      <w:color w:val="404040"/>
      <w:sz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0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2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3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4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5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6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653"/>
    <w:link w:val="819"/>
    <w:uiPriority w:val="99"/>
    <w:semiHidden/>
    <w:unhideWhenUsed/>
    <w:pPr>
      <w:spacing w:after="40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uiPriority w:val="99"/>
    <w:unhideWhenUsed/>
    <w:rPr>
      <w:vertAlign w:val="superscript"/>
    </w:rPr>
  </w:style>
  <w:style w:type="paragraph" w:styleId="821">
    <w:name w:val="endnote text"/>
    <w:basedOn w:val="653"/>
    <w:link w:val="822"/>
    <w:uiPriority w:val="99"/>
    <w:semiHidden/>
    <w:unhideWhenUsed/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uiPriority w:val="99"/>
    <w:semiHidden/>
    <w:unhideWhenUsed/>
    <w:rPr>
      <w:vertAlign w:val="superscript"/>
    </w:rPr>
  </w:style>
  <w:style w:type="paragraph" w:styleId="824">
    <w:name w:val="toc 1"/>
    <w:basedOn w:val="653"/>
    <w:next w:val="653"/>
    <w:uiPriority w:val="39"/>
    <w:unhideWhenUsed/>
    <w:pPr>
      <w:spacing w:after="57"/>
    </w:pPr>
  </w:style>
  <w:style w:type="paragraph" w:styleId="825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6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7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8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9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30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1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2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3"/>
    <w:next w:val="653"/>
    <w:uiPriority w:val="99"/>
    <w:unhideWhenUsed/>
  </w:style>
  <w:style w:type="paragraph" w:styleId="835" w:customStyle="1">
    <w:name w:val="ConsPlusNormal"/>
  </w:style>
  <w:style w:type="paragraph" w:styleId="836" w:customStyle="1">
    <w:name w:val="ConsPlusNonformat"/>
    <w:rPr>
      <w:rFonts w:ascii="Courier New" w:hAnsi="Courier New" w:eastAsia="Courier New" w:cs="Courier New"/>
      <w:sz w:val="20"/>
    </w:rPr>
  </w:style>
  <w:style w:type="paragraph" w:styleId="837" w:customStyle="1">
    <w:name w:val="ConsPlusTitle"/>
    <w:rPr>
      <w:rFonts w:ascii="Arial" w:hAnsi="Arial" w:eastAsia="Arial" w:cs="Arial"/>
      <w:b/>
    </w:rPr>
  </w:style>
  <w:style w:type="paragraph" w:styleId="838" w:customStyle="1">
    <w:name w:val="ConsPlusCell"/>
    <w:rPr>
      <w:rFonts w:ascii="Courier New" w:hAnsi="Courier New" w:eastAsia="Courier New" w:cs="Courier New"/>
      <w:sz w:val="20"/>
    </w:rPr>
  </w:style>
  <w:style w:type="paragraph" w:styleId="839" w:customStyle="1">
    <w:name w:val="ConsPlusDocList"/>
    <w:rPr>
      <w:rFonts w:ascii="Tahoma" w:hAnsi="Tahoma" w:eastAsia="Tahoma" w:cs="Tahoma"/>
      <w:sz w:val="18"/>
    </w:rPr>
  </w:style>
  <w:style w:type="paragraph" w:styleId="840" w:customStyle="1">
    <w:name w:val="ConsPlusTitlePage"/>
    <w:rPr>
      <w:rFonts w:ascii="Tahoma" w:hAnsi="Tahoma" w:eastAsia="Tahoma" w:cs="Tahoma"/>
    </w:rPr>
  </w:style>
  <w:style w:type="paragraph" w:styleId="841" w:customStyle="1">
    <w:name w:val="ConsPlusJurTerm"/>
  </w:style>
  <w:style w:type="paragraph" w:styleId="842" w:customStyle="1">
    <w:name w:val="ConsPlusTextList"/>
  </w:style>
  <w:style w:type="paragraph" w:styleId="843" w:customStyle="1">
    <w:name w:val="ConsPlusTextList"/>
  </w:style>
  <w:style w:type="paragraph" w:styleId="844">
    <w:name w:val="Body Text Indent 2"/>
    <w:pPr>
      <w:ind w:firstLine="720"/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szCs w:val="24"/>
      <w:lang w:val="en-US" w:eastAsia="en-US"/>
    </w:rPr>
  </w:style>
  <w:style w:type="paragraph" w:styleId="845">
    <w:name w:val="Обычн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color w:val="auto"/>
      <w:spacing w:val="0"/>
      <w:position w:val="0"/>
      <w:sz w:val="24"/>
      <w:szCs w:val="24"/>
      <w:highlight w:val="none"/>
      <w:u w:val="none"/>
      <w:vertAlign w:val="baseline"/>
      <w:lang w:val="ru-RU" w:eastAsia="ru-RU" w:bidi="ar-SA"/>
    </w:rPr>
  </w:style>
  <w:style w:type="paragraph" w:styleId="846" w:customStyle="1">
    <w:name w:val="Основной текст с отступом 2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color w:val="auto"/>
      <w:spacing w:val="0"/>
      <w:position w:val="0"/>
      <w:sz w:val="28"/>
      <w:szCs w:val="24"/>
      <w:highlight w:val="none"/>
      <w:u w:val="none"/>
      <w:vertAlign w:val="baseline"/>
      <w:lang w:val="en-US" w:eastAsia="en-US" w:bidi="ar-SA"/>
      <w14:ligatures w14:val="none"/>
    </w:rPr>
  </w:style>
  <w:style w:type="paragraph" w:styleId="847" w:customStyle="1">
    <w:name w:val="Прижатый влево"/>
    <w:basedOn w:val="734"/>
    <w:next w:val="734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 CYR" w:hAnsi="Times New Roman CYR" w:eastAsia="Times New Roman" w:cs="Times New Roman CYR"/>
      <w:color w:val="auto"/>
      <w:spacing w:val="0"/>
      <w:position w:val="0"/>
      <w:sz w:val="24"/>
      <w:szCs w:val="24"/>
      <w:highlight w:val="none"/>
      <w:u w:val="none"/>
      <w:vertAlign w:val="baseline"/>
      <w:lang w:val="ru-RU" w:eastAsia="ru-RU" w:bidi="ar-SA"/>
      <w14:ligatures w14:val="none"/>
    </w:rPr>
  </w:style>
  <w:style w:type="paragraph" w:styleId="848" w:customStyle="1">
    <w:name w:val="Нормальный (таблица)"/>
    <w:basedOn w:val="734"/>
    <w:next w:val="734"/>
    <w:uiPriority w:val="9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 CYR" w:hAnsi="Times New Roman CYR" w:eastAsia="Times New Roman" w:cs="Times New Roman CYR"/>
      <w:color w:val="auto"/>
      <w:spacing w:val="0"/>
      <w:position w:val="0"/>
      <w:sz w:val="24"/>
      <w:szCs w:val="24"/>
      <w:highlight w:val="none"/>
      <w:u w:val="none"/>
      <w:vertAlign w:val="baseline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58344B958071A86B3646561228E60966DC92E4268CC732E0E688963FA3777EF3402C79FCB4CEF4D9C1E0E0d0j8J" TargetMode="External"/><Relationship Id="rId12" Type="http://schemas.openxmlformats.org/officeDocument/2006/relationships/hyperlink" Target="consultantplus://offline/ref=A8EB71213BBBD44D6BE35CFB5BD47D9995598DE1846D5C1BCFFCE3472F417B0B113023AE5F9788D8FCC12B84449EA848BB0317909F43FF1Ek2uCK" TargetMode="External"/><Relationship Id="rId13" Type="http://schemas.openxmlformats.org/officeDocument/2006/relationships/hyperlink" Target="consultantplus://offline/ref=A8EB71213BBBD44D6BE35CFB5BD47D9995598DE1846D5C1BCFFCE3472F417B0B113023AE5F9788DDF5C12B84449EA848BB0317909F43FF1Ek2uC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ФАС России от 10.03.2022 N 196/22&amp;quot;Об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государственного регулирования тарифов&amp;quot;(Зарегистрировано в Минюсте России 07.11.2022 N 70823)</dc:title>
  <dc:creator>Гурская Екатерина Анатольевна</dc:creator>
  <cp:lastModifiedBy>Аноним</cp:lastModifiedBy>
  <cp:revision>10</cp:revision>
  <dcterms:created xsi:type="dcterms:W3CDTF">2022-11-22T09:49:00Z</dcterms:created>
  <dcterms:modified xsi:type="dcterms:W3CDTF">2023-12-20T10:02:57Z</dcterms:modified>
</cp:coreProperties>
</file>